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89" w:rsidRPr="00015432" w:rsidRDefault="00DE4E89" w:rsidP="00DE4E89">
      <w:pPr>
        <w:jc w:val="center"/>
        <w:rPr>
          <w:rFonts w:ascii="Verdana" w:hAnsi="Verdana" w:cs="Arial"/>
          <w:b/>
          <w:sz w:val="20"/>
          <w:lang w:val="en"/>
        </w:rPr>
      </w:pPr>
      <w:bookmarkStart w:id="0" w:name="_GoBack"/>
      <w:bookmarkEnd w:id="0"/>
      <w:r w:rsidRPr="00015432">
        <w:rPr>
          <w:rFonts w:ascii="Verdana" w:hAnsi="Verdana" w:cs="Arial"/>
          <w:b/>
          <w:sz w:val="20"/>
          <w:lang w:val="en"/>
        </w:rPr>
        <w:t>Annual statement from the Medical Research Council on Research Integrity and Scientific Misconduct for the period 1</w:t>
      </w:r>
      <w:r w:rsidRPr="00015432">
        <w:rPr>
          <w:rFonts w:ascii="Verdana" w:hAnsi="Verdana" w:cs="Arial"/>
          <w:b/>
          <w:sz w:val="20"/>
          <w:vertAlign w:val="superscript"/>
          <w:lang w:val="en"/>
        </w:rPr>
        <w:t>st</w:t>
      </w:r>
      <w:r w:rsidRPr="00015432">
        <w:rPr>
          <w:rFonts w:ascii="Verdana" w:hAnsi="Verdana" w:cs="Arial"/>
          <w:b/>
          <w:sz w:val="20"/>
          <w:lang w:val="en"/>
        </w:rPr>
        <w:t xml:space="preserve">  April 2013-31</w:t>
      </w:r>
      <w:r w:rsidRPr="00015432">
        <w:rPr>
          <w:rFonts w:ascii="Verdana" w:hAnsi="Verdana" w:cs="Arial"/>
          <w:b/>
          <w:sz w:val="20"/>
          <w:vertAlign w:val="superscript"/>
          <w:lang w:val="en"/>
        </w:rPr>
        <w:t>st</w:t>
      </w:r>
      <w:r w:rsidRPr="00015432">
        <w:rPr>
          <w:rFonts w:ascii="Verdana" w:hAnsi="Verdana" w:cs="Arial"/>
          <w:b/>
          <w:sz w:val="20"/>
          <w:lang w:val="en"/>
        </w:rPr>
        <w:t xml:space="preserve">  March 2014</w:t>
      </w:r>
    </w:p>
    <w:p w:rsidR="00DE4E89" w:rsidRDefault="00DE4E89" w:rsidP="00DE4E89">
      <w:pPr>
        <w:pStyle w:val="NoSpacing"/>
        <w:rPr>
          <w:rFonts w:cs="Arial"/>
          <w:lang w:val="en"/>
        </w:rPr>
      </w:pPr>
    </w:p>
    <w:p w:rsidR="00DE4E89" w:rsidRDefault="00DE4E89" w:rsidP="00DE4E89">
      <w:pPr>
        <w:rPr>
          <w:rFonts w:ascii="Verdana" w:hAnsi="Verdana" w:cs="Arial"/>
          <w:sz w:val="20"/>
          <w:lang w:val="en"/>
        </w:rPr>
      </w:pPr>
    </w:p>
    <w:p w:rsidR="00DE4E89" w:rsidRPr="003A5286" w:rsidRDefault="00DE4E89" w:rsidP="00DE4E89">
      <w:pPr>
        <w:pStyle w:val="NoSpacing"/>
        <w:numPr>
          <w:ilvl w:val="0"/>
          <w:numId w:val="2"/>
        </w:numPr>
        <w:tabs>
          <w:tab w:val="left" w:pos="709"/>
        </w:tabs>
        <w:ind w:left="709"/>
        <w:rPr>
          <w:rFonts w:eastAsia="Times New Roman" w:cs="Arial"/>
          <w:u w:val="single"/>
          <w:lang w:eastAsia="en-GB"/>
        </w:rPr>
      </w:pPr>
      <w:r w:rsidRPr="003A5286">
        <w:rPr>
          <w:rFonts w:cs="DIN-Light"/>
          <w:u w:val="single"/>
          <w:lang w:eastAsia="en-GB"/>
        </w:rPr>
        <w:t>Summary of actions and activities that have been undertaken to support and strengthen understanding and application of research integrity issues</w:t>
      </w:r>
    </w:p>
    <w:p w:rsidR="00DE4E89" w:rsidRPr="008548AE" w:rsidRDefault="00DE4E89" w:rsidP="00DE4E89">
      <w:pPr>
        <w:pStyle w:val="NoSpacing"/>
        <w:rPr>
          <w:lang w:eastAsia="en-GB"/>
        </w:rPr>
      </w:pPr>
    </w:p>
    <w:p w:rsidR="00DE4E89" w:rsidRDefault="00DE4E89" w:rsidP="00DE4E89">
      <w:pPr>
        <w:pStyle w:val="NoSpacing"/>
        <w:numPr>
          <w:ilvl w:val="0"/>
          <w:numId w:val="3"/>
        </w:numPr>
        <w:rPr>
          <w:lang w:val="en" w:eastAsia="en-GB"/>
        </w:rPr>
      </w:pPr>
      <w:r>
        <w:rPr>
          <w:lang w:val="en" w:eastAsia="en-GB"/>
        </w:rPr>
        <w:t>In October 2013, staff from MRC Head Office delivered a training course</w:t>
      </w:r>
      <w:r w:rsidRPr="00393AB4">
        <w:rPr>
          <w:lang w:val="en" w:eastAsia="en-GB"/>
        </w:rPr>
        <w:t xml:space="preserve"> </w:t>
      </w:r>
      <w:r>
        <w:rPr>
          <w:lang w:val="en" w:eastAsia="en-GB"/>
        </w:rPr>
        <w:t>on the importance of Good Research Practice at the MRC Biostatistics Unit</w:t>
      </w:r>
      <w:r w:rsidRPr="008548AE">
        <w:rPr>
          <w:lang w:val="en" w:eastAsia="en-GB"/>
        </w:rPr>
        <w:t>.</w:t>
      </w:r>
    </w:p>
    <w:p w:rsidR="00DE4E89" w:rsidRDefault="00DE4E89" w:rsidP="00DE4E89">
      <w:pPr>
        <w:pStyle w:val="NoSpacing"/>
        <w:numPr>
          <w:ilvl w:val="0"/>
          <w:numId w:val="3"/>
        </w:numPr>
        <w:rPr>
          <w:lang w:val="en" w:eastAsia="en-GB"/>
        </w:rPr>
      </w:pPr>
      <w:r>
        <w:rPr>
          <w:lang w:eastAsia="en-GB"/>
        </w:rPr>
        <w:t xml:space="preserve">An </w:t>
      </w:r>
      <w:r w:rsidRPr="00393AB4">
        <w:rPr>
          <w:lang w:eastAsia="en-GB"/>
        </w:rPr>
        <w:t>on-</w:t>
      </w:r>
      <w:r>
        <w:rPr>
          <w:lang w:val="en" w:eastAsia="en-GB"/>
        </w:rPr>
        <w:t xml:space="preserve">line introductory e-learning module based on the MRC’s Good Research Practice Guidance has been developed </w:t>
      </w:r>
      <w:r w:rsidR="006927F4">
        <w:rPr>
          <w:lang w:val="en" w:eastAsia="en-GB"/>
        </w:rPr>
        <w:t>and is being tested</w:t>
      </w:r>
    </w:p>
    <w:p w:rsidR="00DE4E89" w:rsidRPr="00D86751" w:rsidRDefault="00DE4E89" w:rsidP="00DE4E89">
      <w:pPr>
        <w:pStyle w:val="NoSpacing"/>
        <w:numPr>
          <w:ilvl w:val="0"/>
          <w:numId w:val="3"/>
        </w:numPr>
        <w:rPr>
          <w:rFonts w:cs="Arial"/>
          <w:lang w:val="en"/>
        </w:rPr>
      </w:pPr>
      <w:r w:rsidRPr="00485BF1">
        <w:rPr>
          <w:lang w:val="en" w:eastAsia="en-GB"/>
        </w:rPr>
        <w:t xml:space="preserve">The RCUK </w:t>
      </w:r>
      <w:hyperlink r:id="rId8" w:history="1">
        <w:r w:rsidRPr="00485BF1">
          <w:rPr>
            <w:rFonts w:eastAsia="Times New Roman" w:cs="Arial"/>
            <w:iCs/>
            <w:lang w:eastAsia="en-GB"/>
          </w:rPr>
          <w:t>Policy and Guidelines on the Governance of Good Research Conduct</w:t>
        </w:r>
      </w:hyperlink>
      <w:r w:rsidRPr="00485BF1">
        <w:rPr>
          <w:rFonts w:eastAsia="Times New Roman" w:cs="Arial"/>
          <w:iCs/>
          <w:lang w:eastAsia="en-GB"/>
        </w:rPr>
        <w:t xml:space="preserve"> includes “</w:t>
      </w:r>
      <w:r w:rsidRPr="00485BF1">
        <w:t xml:space="preserve">Peer reviewers must declare any conflicts of interest, including professional, personal or commercial conflicts, and must not take advantage of any information received as a result of their peer reviewing role”. New guidance </w:t>
      </w:r>
      <w:r>
        <w:t>on declaring interests was issued to all MRC Board and Panel members and updated declarations have been published on the MRC web site.</w:t>
      </w:r>
    </w:p>
    <w:p w:rsidR="00DE4E89" w:rsidRPr="00485BF1" w:rsidRDefault="00DE4E89" w:rsidP="00DE4E89">
      <w:pPr>
        <w:pStyle w:val="NoSpacing"/>
        <w:numPr>
          <w:ilvl w:val="0"/>
          <w:numId w:val="3"/>
        </w:numPr>
        <w:rPr>
          <w:rFonts w:cs="Arial"/>
          <w:lang w:val="en"/>
        </w:rPr>
      </w:pPr>
      <w:r>
        <w:t>New guidance on conflicts of interest is being developed for MRC staff.</w:t>
      </w:r>
    </w:p>
    <w:p w:rsidR="00DE4E89" w:rsidRDefault="00DE4E89" w:rsidP="00DE4E89">
      <w:pPr>
        <w:rPr>
          <w:rFonts w:ascii="Verdana" w:hAnsi="Verdana" w:cs="Arial"/>
          <w:sz w:val="20"/>
          <w:lang w:val="en"/>
        </w:rPr>
      </w:pPr>
    </w:p>
    <w:p w:rsidR="00DE4E89" w:rsidRPr="00C5185C" w:rsidRDefault="00DE4E89" w:rsidP="00DE4E89">
      <w:pPr>
        <w:pStyle w:val="NoSpacing"/>
        <w:numPr>
          <w:ilvl w:val="0"/>
          <w:numId w:val="2"/>
        </w:numPr>
        <w:ind w:left="709"/>
        <w:rPr>
          <w:rFonts w:eastAsia="Times New Roman" w:cs="Arial"/>
          <w:u w:val="single"/>
          <w:lang w:eastAsia="en-GB"/>
        </w:rPr>
      </w:pPr>
      <w:r w:rsidRPr="00C5185C">
        <w:rPr>
          <w:rFonts w:cs="DIN-Light"/>
          <w:u w:val="single"/>
          <w:lang w:eastAsia="en-GB"/>
        </w:rPr>
        <w:t>As</w:t>
      </w:r>
      <w:r>
        <w:rPr>
          <w:rFonts w:cs="DIN-Light"/>
          <w:u w:val="single"/>
          <w:lang w:eastAsia="en-GB"/>
        </w:rPr>
        <w:t>surances that the processes employers</w:t>
      </w:r>
      <w:r w:rsidRPr="00C5185C">
        <w:rPr>
          <w:rFonts w:cs="DIN-Light"/>
          <w:u w:val="single"/>
          <w:lang w:eastAsia="en-GB"/>
        </w:rPr>
        <w:t xml:space="preserve"> have in place </w:t>
      </w:r>
      <w:r>
        <w:rPr>
          <w:rFonts w:cs="DIN-Light"/>
          <w:u w:val="single"/>
          <w:lang w:eastAsia="en-GB"/>
        </w:rPr>
        <w:t xml:space="preserve">for dealing with allegations of </w:t>
      </w:r>
      <w:r w:rsidRPr="00C5185C">
        <w:rPr>
          <w:rFonts w:cs="DIN-Light"/>
          <w:u w:val="single"/>
          <w:lang w:eastAsia="en-GB"/>
        </w:rPr>
        <w:t>misconduct are transparent, robust and fair, and that they continue to be appropriate to the needs of the organisation.</w:t>
      </w:r>
    </w:p>
    <w:p w:rsidR="00DE4E89" w:rsidRDefault="00DE4E89" w:rsidP="00DE4E89">
      <w:pPr>
        <w:pStyle w:val="NoSpacing"/>
        <w:rPr>
          <w:rFonts w:eastAsia="Times New Roman" w:cs="Arial"/>
          <w:lang w:eastAsia="en-GB"/>
        </w:rPr>
      </w:pPr>
    </w:p>
    <w:p w:rsidR="00DE4E89" w:rsidRPr="00D86751" w:rsidRDefault="00DE4E89" w:rsidP="00DE4E89">
      <w:pPr>
        <w:pStyle w:val="NoSpacing"/>
        <w:numPr>
          <w:ilvl w:val="0"/>
          <w:numId w:val="1"/>
        </w:numPr>
        <w:ind w:left="1069"/>
        <w:rPr>
          <w:rFonts w:eastAsia="Times New Roman" w:cs="Arial"/>
          <w:lang w:eastAsia="en-GB"/>
        </w:rPr>
      </w:pPr>
      <w:r w:rsidRPr="00485BF1">
        <w:rPr>
          <w:rFonts w:eastAsia="Times New Roman" w:cs="Arial"/>
          <w:lang w:eastAsia="en-GB"/>
        </w:rPr>
        <w:t>The MRC’s ‘</w:t>
      </w:r>
      <w:r w:rsidRPr="00485BF1">
        <w:rPr>
          <w:rFonts w:eastAsia="Times New Roman"/>
          <w:bCs/>
          <w:lang w:val="en" w:eastAsia="en-GB"/>
        </w:rPr>
        <w:t>Scientific misconduct policy and procedure’ was first published in December 1997 and was updated in December 2008</w:t>
      </w:r>
      <w:r w:rsidRPr="0058299A">
        <w:rPr>
          <w:rStyle w:val="FootnoteReference"/>
          <w:rFonts w:eastAsia="Times New Roman"/>
          <w:bCs/>
          <w:lang w:val="en" w:eastAsia="en-GB"/>
        </w:rPr>
        <w:footnoteReference w:id="1"/>
      </w:r>
      <w:r w:rsidRPr="00485BF1">
        <w:rPr>
          <w:rFonts w:eastAsia="Times New Roman"/>
          <w:bCs/>
          <w:lang w:val="en" w:eastAsia="en-GB"/>
        </w:rPr>
        <w:t xml:space="preserve">. </w:t>
      </w:r>
      <w:r>
        <w:rPr>
          <w:rFonts w:eastAsia="Times New Roman"/>
          <w:bCs/>
          <w:lang w:val="en" w:eastAsia="en-GB"/>
        </w:rPr>
        <w:t>An updated version is being prepared and consultations with staff are ongoing.</w:t>
      </w:r>
    </w:p>
    <w:p w:rsidR="00DE4E89" w:rsidRPr="00485BF1" w:rsidRDefault="00DE4E89" w:rsidP="00DE4E89">
      <w:pPr>
        <w:pStyle w:val="NoSpacing"/>
        <w:numPr>
          <w:ilvl w:val="0"/>
          <w:numId w:val="1"/>
        </w:numPr>
        <w:ind w:left="1069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Recent experience in handling allegations of misconduct</w:t>
      </w:r>
      <w:r w:rsidRPr="00485BF1">
        <w:rPr>
          <w:rFonts w:eastAsia="Times New Roman" w:cs="Arial"/>
          <w:lang w:eastAsia="en-GB"/>
        </w:rPr>
        <w:t xml:space="preserve"> has shown that the MRC’s procedure has been fit for purpose.</w:t>
      </w:r>
    </w:p>
    <w:p w:rsidR="00DE4E89" w:rsidRDefault="00DE4E89" w:rsidP="00DE4E89">
      <w:pPr>
        <w:pStyle w:val="NoSpacing"/>
        <w:rPr>
          <w:rFonts w:eastAsia="Times New Roman" w:cs="Arial"/>
          <w:lang w:eastAsia="en-GB"/>
        </w:rPr>
      </w:pPr>
    </w:p>
    <w:p w:rsidR="00DE4E89" w:rsidRPr="003B160D" w:rsidRDefault="00DE4E89" w:rsidP="00DE4E89">
      <w:pPr>
        <w:pStyle w:val="NoSpacing"/>
        <w:numPr>
          <w:ilvl w:val="0"/>
          <w:numId w:val="2"/>
        </w:numPr>
        <w:ind w:left="709"/>
        <w:rPr>
          <w:rFonts w:cs="DIN-Light"/>
          <w:u w:val="single"/>
          <w:lang w:eastAsia="en-GB"/>
        </w:rPr>
      </w:pPr>
      <w:r w:rsidRPr="00D92CE7">
        <w:rPr>
          <w:rFonts w:cs="DIN-Light"/>
          <w:u w:val="single"/>
          <w:lang w:eastAsia="en-GB"/>
        </w:rPr>
        <w:t>High-level statement on any formal investigations of research misconduct/</w:t>
      </w:r>
      <w:r>
        <w:rPr>
          <w:rFonts w:cs="DIN-Light"/>
          <w:u w:val="single"/>
          <w:lang w:eastAsia="en-GB"/>
        </w:rPr>
        <w:t>s</w:t>
      </w:r>
      <w:r w:rsidRPr="003B160D">
        <w:rPr>
          <w:rFonts w:cs="DIN-Light"/>
          <w:u w:val="single"/>
          <w:lang w:eastAsia="en-GB"/>
        </w:rPr>
        <w:t>tatistics</w:t>
      </w:r>
    </w:p>
    <w:p w:rsidR="00DE4E89" w:rsidRDefault="00DE4E89" w:rsidP="00DE4E89">
      <w:pPr>
        <w:pStyle w:val="NoSpacing"/>
        <w:rPr>
          <w:rFonts w:eastAsia="Times New Roman" w:cs="Arial"/>
          <w:lang w:eastAsia="en-GB"/>
        </w:rPr>
      </w:pPr>
    </w:p>
    <w:p w:rsidR="00DE4E89" w:rsidRDefault="00DE4E89" w:rsidP="00DE4E89">
      <w:pPr>
        <w:pStyle w:val="NoSpacing"/>
        <w:ind w:left="709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The following information concerns allegations made against current or former </w:t>
      </w:r>
      <w:r w:rsidRPr="00D92CE7">
        <w:rPr>
          <w:rFonts w:eastAsia="Times New Roman" w:cs="Arial"/>
          <w:u w:val="single"/>
          <w:lang w:eastAsia="en-GB"/>
        </w:rPr>
        <w:t>MRC employees</w:t>
      </w:r>
      <w:r w:rsidRPr="00956D04">
        <w:rPr>
          <w:rFonts w:eastAsia="Times New Roman" w:cs="Arial"/>
          <w:u w:val="single"/>
          <w:lang w:eastAsia="en-GB"/>
        </w:rPr>
        <w:t xml:space="preserve"> </w:t>
      </w:r>
      <w:r>
        <w:rPr>
          <w:rFonts w:eastAsia="Times New Roman" w:cs="Arial"/>
          <w:u w:val="single"/>
          <w:lang w:eastAsia="en-GB"/>
        </w:rPr>
        <w:t>or PhD students in MRC establishments</w:t>
      </w:r>
      <w:r>
        <w:rPr>
          <w:rFonts w:eastAsia="Times New Roman" w:cs="Arial"/>
          <w:lang w:eastAsia="en-GB"/>
        </w:rPr>
        <w:t>.</w:t>
      </w:r>
    </w:p>
    <w:p w:rsidR="00DE4E89" w:rsidRDefault="00DE4E89" w:rsidP="00DE4E89">
      <w:pPr>
        <w:pStyle w:val="NoSpacing"/>
        <w:rPr>
          <w:rFonts w:eastAsia="Times New Roman" w:cs="Arial"/>
          <w:lang w:eastAsia="en-GB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1134"/>
      </w:tblGrid>
      <w:tr w:rsidR="00DE4E89" w:rsidTr="009D625C">
        <w:tc>
          <w:tcPr>
            <w:tcW w:w="7229" w:type="dxa"/>
            <w:shd w:val="clear" w:color="auto" w:fill="auto"/>
          </w:tcPr>
          <w:p w:rsidR="00DE4E89" w:rsidRPr="00F024F9" w:rsidRDefault="00DE4E89" w:rsidP="009D625C">
            <w:pPr>
              <w:pStyle w:val="NoSpacing"/>
              <w:widowControl w:val="0"/>
              <w:rPr>
                <w:rFonts w:eastAsia="Times New Roman" w:cs="Arial"/>
                <w:lang w:eastAsia="en-GB"/>
              </w:rPr>
            </w:pPr>
            <w:r w:rsidRPr="00F024F9">
              <w:t>Number of investigations that were underway during the year</w:t>
            </w:r>
          </w:p>
        </w:tc>
        <w:tc>
          <w:tcPr>
            <w:tcW w:w="1134" w:type="dxa"/>
            <w:shd w:val="clear" w:color="auto" w:fill="auto"/>
          </w:tcPr>
          <w:p w:rsidR="00DE4E89" w:rsidRPr="00F024F9" w:rsidRDefault="00DE4E89" w:rsidP="009D625C">
            <w:pPr>
              <w:pStyle w:val="NoSpacing"/>
              <w:widowControl w:val="0"/>
              <w:jc w:val="right"/>
              <w:rPr>
                <w:rFonts w:eastAsia="Times New Roman" w:cs="Arial"/>
                <w:lang w:eastAsia="en-GB"/>
              </w:rPr>
            </w:pPr>
            <w:r w:rsidRPr="00F024F9">
              <w:rPr>
                <w:rFonts w:eastAsia="Times New Roman" w:cs="Arial"/>
                <w:lang w:eastAsia="en-GB"/>
              </w:rPr>
              <w:t>1</w:t>
            </w:r>
          </w:p>
        </w:tc>
      </w:tr>
      <w:tr w:rsidR="00DE4E89" w:rsidTr="009D625C">
        <w:tc>
          <w:tcPr>
            <w:tcW w:w="7229" w:type="dxa"/>
            <w:shd w:val="clear" w:color="auto" w:fill="auto"/>
          </w:tcPr>
          <w:p w:rsidR="00DE4E89" w:rsidRPr="00F024F9" w:rsidRDefault="00DE4E89" w:rsidP="009D625C">
            <w:pPr>
              <w:pStyle w:val="NoSpacing"/>
              <w:widowControl w:val="0"/>
            </w:pPr>
            <w:r w:rsidRPr="00F024F9">
              <w:t>Of these the number that started during the year</w:t>
            </w:r>
          </w:p>
        </w:tc>
        <w:tc>
          <w:tcPr>
            <w:tcW w:w="1134" w:type="dxa"/>
            <w:shd w:val="clear" w:color="auto" w:fill="auto"/>
          </w:tcPr>
          <w:p w:rsidR="00DE4E89" w:rsidRPr="00F024F9" w:rsidRDefault="00DE4E89" w:rsidP="009D625C">
            <w:pPr>
              <w:pStyle w:val="NoSpacing"/>
              <w:widowControl w:val="0"/>
              <w:jc w:val="right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0</w:t>
            </w:r>
          </w:p>
        </w:tc>
      </w:tr>
      <w:tr w:rsidR="00DE4E89" w:rsidTr="009D625C">
        <w:tc>
          <w:tcPr>
            <w:tcW w:w="7229" w:type="dxa"/>
            <w:vMerge w:val="restart"/>
            <w:shd w:val="clear" w:color="auto" w:fill="auto"/>
          </w:tcPr>
          <w:p w:rsidR="00DE4E89" w:rsidRPr="00F024F9" w:rsidRDefault="00DE4E89" w:rsidP="009D625C">
            <w:pPr>
              <w:pStyle w:val="NoSpacing"/>
              <w:widowControl w:val="0"/>
            </w:pPr>
            <w:r w:rsidRPr="00F024F9">
              <w:t>Number of investigations completed during the year:  i) upheld</w:t>
            </w:r>
          </w:p>
          <w:p w:rsidR="00DE4E89" w:rsidRPr="00F024F9" w:rsidRDefault="00DE4E89" w:rsidP="009D625C">
            <w:pPr>
              <w:pStyle w:val="NoSpacing"/>
              <w:widowControl w:val="0"/>
              <w:rPr>
                <w:rFonts w:eastAsia="Times New Roman" w:cs="Arial"/>
                <w:lang w:eastAsia="en-GB"/>
              </w:rPr>
            </w:pPr>
            <w:r w:rsidRPr="00F024F9">
              <w:rPr>
                <w:rFonts w:eastAsia="Times New Roman" w:cs="Arial"/>
                <w:lang w:eastAsia="en-GB"/>
              </w:rPr>
              <w:t xml:space="preserve">                                                                              ii)not upheld</w:t>
            </w:r>
          </w:p>
        </w:tc>
        <w:tc>
          <w:tcPr>
            <w:tcW w:w="1134" w:type="dxa"/>
            <w:shd w:val="clear" w:color="auto" w:fill="auto"/>
          </w:tcPr>
          <w:p w:rsidR="00DE4E89" w:rsidRPr="00F024F9" w:rsidRDefault="00DE4E89" w:rsidP="009D625C">
            <w:pPr>
              <w:pStyle w:val="NoSpacing"/>
              <w:widowControl w:val="0"/>
              <w:jc w:val="right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DE4E89" w:rsidTr="009D625C">
        <w:tc>
          <w:tcPr>
            <w:tcW w:w="7229" w:type="dxa"/>
            <w:vMerge/>
            <w:shd w:val="clear" w:color="auto" w:fill="auto"/>
          </w:tcPr>
          <w:p w:rsidR="00DE4E89" w:rsidRPr="00F024F9" w:rsidRDefault="00DE4E89" w:rsidP="009D625C">
            <w:pPr>
              <w:pStyle w:val="NoSpacing"/>
              <w:widowControl w:val="0"/>
              <w:rPr>
                <w:rFonts w:eastAsia="Times New Roman" w:cs="Arial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DE4E89" w:rsidRPr="00F024F9" w:rsidRDefault="00DE4E89" w:rsidP="009D625C">
            <w:pPr>
              <w:pStyle w:val="NoSpacing"/>
              <w:widowControl w:val="0"/>
              <w:jc w:val="right"/>
              <w:rPr>
                <w:rFonts w:eastAsia="Times New Roman" w:cs="Arial"/>
                <w:lang w:eastAsia="en-GB"/>
              </w:rPr>
            </w:pPr>
            <w:r w:rsidRPr="00F024F9">
              <w:rPr>
                <w:rFonts w:eastAsia="Times New Roman" w:cs="Arial"/>
                <w:lang w:eastAsia="en-GB"/>
              </w:rPr>
              <w:t>0</w:t>
            </w:r>
          </w:p>
        </w:tc>
      </w:tr>
      <w:tr w:rsidR="00DE4E89" w:rsidTr="009D625C">
        <w:tc>
          <w:tcPr>
            <w:tcW w:w="7229" w:type="dxa"/>
            <w:shd w:val="clear" w:color="auto" w:fill="auto"/>
          </w:tcPr>
          <w:p w:rsidR="00DE4E89" w:rsidRPr="00F024F9" w:rsidRDefault="00DE4E89" w:rsidP="009D625C">
            <w:pPr>
              <w:pStyle w:val="NoSpacing"/>
              <w:widowControl w:val="0"/>
              <w:rPr>
                <w:rFonts w:eastAsia="Times New Roman" w:cs="Arial"/>
                <w:lang w:eastAsia="en-GB"/>
              </w:rPr>
            </w:pPr>
            <w:r w:rsidRPr="00F024F9">
              <w:t>Number of allegations that did not proceed to a full investigation*</w:t>
            </w:r>
          </w:p>
        </w:tc>
        <w:tc>
          <w:tcPr>
            <w:tcW w:w="1134" w:type="dxa"/>
            <w:shd w:val="clear" w:color="auto" w:fill="auto"/>
          </w:tcPr>
          <w:p w:rsidR="00DE4E89" w:rsidRPr="00F024F9" w:rsidRDefault="00DE4E89" w:rsidP="009D625C">
            <w:pPr>
              <w:pStyle w:val="NoSpacing"/>
              <w:widowControl w:val="0"/>
              <w:jc w:val="right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38</w:t>
            </w:r>
          </w:p>
        </w:tc>
      </w:tr>
    </w:tbl>
    <w:p w:rsidR="00DE4E89" w:rsidRDefault="00DE4E89" w:rsidP="00DE4E89">
      <w:pPr>
        <w:pStyle w:val="NoSpacing"/>
        <w:rPr>
          <w:rFonts w:eastAsia="Times New Roman" w:cs="Arial"/>
          <w:lang w:eastAsia="en-GB"/>
        </w:rPr>
      </w:pPr>
    </w:p>
    <w:p w:rsidR="00DE4E89" w:rsidRPr="003B160D" w:rsidRDefault="00DE4E89" w:rsidP="00DE4E89">
      <w:pPr>
        <w:pStyle w:val="NoSpacing"/>
        <w:ind w:left="720"/>
        <w:rPr>
          <w:rFonts w:eastAsia="Times New Roman" w:cs="Arial"/>
          <w:i/>
          <w:sz w:val="18"/>
          <w:szCs w:val="18"/>
          <w:lang w:eastAsia="en-GB"/>
        </w:rPr>
      </w:pPr>
      <w:r w:rsidRPr="003B160D">
        <w:rPr>
          <w:rFonts w:eastAsia="Times New Roman" w:cs="Arial"/>
          <w:i/>
          <w:sz w:val="18"/>
          <w:szCs w:val="18"/>
          <w:lang w:eastAsia="en-GB"/>
        </w:rPr>
        <w:t xml:space="preserve">* Allegations </w:t>
      </w:r>
      <w:r>
        <w:rPr>
          <w:rFonts w:eastAsia="Times New Roman" w:cs="Arial"/>
          <w:i/>
          <w:sz w:val="18"/>
          <w:szCs w:val="18"/>
          <w:lang w:eastAsia="en-GB"/>
        </w:rPr>
        <w:t xml:space="preserve">of inappropriate image manipulation </w:t>
      </w:r>
      <w:r w:rsidRPr="003B160D">
        <w:rPr>
          <w:rFonts w:eastAsia="Times New Roman" w:cs="Arial"/>
          <w:i/>
          <w:sz w:val="18"/>
          <w:szCs w:val="18"/>
          <w:lang w:eastAsia="en-GB"/>
        </w:rPr>
        <w:t>from an anonymous source, relating</w:t>
      </w:r>
      <w:r>
        <w:rPr>
          <w:rFonts w:eastAsia="Times New Roman" w:cs="Arial"/>
          <w:i/>
          <w:sz w:val="18"/>
          <w:szCs w:val="18"/>
          <w:lang w:eastAsia="en-GB"/>
        </w:rPr>
        <w:t xml:space="preserve"> to multiple images in each of 38</w:t>
      </w:r>
      <w:r w:rsidRPr="003B160D">
        <w:rPr>
          <w:rFonts w:eastAsia="Times New Roman" w:cs="Arial"/>
          <w:i/>
          <w:sz w:val="18"/>
          <w:szCs w:val="18"/>
          <w:lang w:eastAsia="en-GB"/>
        </w:rPr>
        <w:t xml:space="preserve"> papers</w:t>
      </w:r>
      <w:r>
        <w:rPr>
          <w:rFonts w:eastAsia="Times New Roman" w:cs="Arial"/>
          <w:i/>
          <w:sz w:val="18"/>
          <w:szCs w:val="18"/>
          <w:lang w:eastAsia="en-GB"/>
        </w:rPr>
        <w:t xml:space="preserve"> with authors based in 2 different MRC units.</w:t>
      </w:r>
      <w:r w:rsidRPr="003B160D">
        <w:rPr>
          <w:rFonts w:eastAsia="Times New Roman" w:cs="Arial"/>
          <w:i/>
          <w:sz w:val="18"/>
          <w:szCs w:val="18"/>
          <w:lang w:eastAsia="en-GB"/>
        </w:rPr>
        <w:t xml:space="preserve"> </w:t>
      </w:r>
    </w:p>
    <w:p w:rsidR="00DE4E89" w:rsidRDefault="00DE4E89" w:rsidP="00DE4E89">
      <w:pPr>
        <w:pStyle w:val="NoSpacing"/>
      </w:pPr>
    </w:p>
    <w:p w:rsidR="00DE4E89" w:rsidRPr="003A5286" w:rsidRDefault="00DE4E89" w:rsidP="00DE4E89">
      <w:pPr>
        <w:pStyle w:val="NoSpacing"/>
        <w:ind w:left="720"/>
      </w:pPr>
      <w:r w:rsidRPr="003A5286">
        <w:t xml:space="preserve">As an indicator of scale, the number of MRC employees as at 31/3/13 was </w:t>
      </w:r>
      <w:r>
        <w:t>2560</w:t>
      </w:r>
      <w:r w:rsidRPr="00E702A7">
        <w:rPr>
          <w:rStyle w:val="FootnoteReference"/>
        </w:rPr>
        <w:footnoteReference w:id="2"/>
      </w:r>
      <w:r w:rsidRPr="00E702A7">
        <w:t>.</w:t>
      </w:r>
    </w:p>
    <w:p w:rsidR="00DE4E89" w:rsidRPr="003A5286" w:rsidRDefault="00DE4E89" w:rsidP="00DE4E89">
      <w:pPr>
        <w:pStyle w:val="NoSpacing"/>
        <w:ind w:left="720"/>
      </w:pPr>
      <w:r w:rsidRPr="003A5286">
        <w:t>[However, of course this does not represent a true denominator as it includes many staff unlikely ever to be in a position to commit research misconduct].</w:t>
      </w:r>
    </w:p>
    <w:p w:rsidR="00DE4E89" w:rsidRDefault="00DE4E89" w:rsidP="00DE4E89">
      <w:pPr>
        <w:rPr>
          <w:rFonts w:ascii="Verdana" w:hAnsi="Verdana" w:cs="Arial"/>
          <w:sz w:val="20"/>
          <w:lang w:val="en"/>
        </w:rPr>
      </w:pPr>
    </w:p>
    <w:p w:rsidR="00DE4E89" w:rsidRDefault="00DE4E89" w:rsidP="00DE4E89">
      <w:pPr>
        <w:rPr>
          <w:rFonts w:ascii="Verdana" w:hAnsi="Verdana" w:cs="Arial"/>
          <w:sz w:val="20"/>
          <w:lang w:val="en"/>
        </w:rPr>
      </w:pPr>
    </w:p>
    <w:p w:rsidR="00DE4E89" w:rsidRDefault="00DE4E89" w:rsidP="00DE4E89"/>
    <w:p w:rsidR="004371CE" w:rsidRPr="004371CE" w:rsidRDefault="004371CE" w:rsidP="004371CE">
      <w:pPr>
        <w:rPr>
          <w:rStyle w:val="Strong"/>
          <w:b w:val="0"/>
          <w:bCs w:val="0"/>
        </w:rPr>
      </w:pPr>
    </w:p>
    <w:sectPr w:rsidR="004371CE" w:rsidRPr="004371CE" w:rsidSect="001C06E7">
      <w:pgSz w:w="11906" w:h="16838"/>
      <w:pgMar w:top="96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96" w:rsidRDefault="005A1096" w:rsidP="00DE4E89">
      <w:r>
        <w:separator/>
      </w:r>
    </w:p>
  </w:endnote>
  <w:endnote w:type="continuationSeparator" w:id="0">
    <w:p w:rsidR="005A1096" w:rsidRDefault="005A1096" w:rsidP="00DE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N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96" w:rsidRDefault="005A1096" w:rsidP="00DE4E89">
      <w:r>
        <w:separator/>
      </w:r>
    </w:p>
  </w:footnote>
  <w:footnote w:type="continuationSeparator" w:id="0">
    <w:p w:rsidR="005A1096" w:rsidRDefault="005A1096" w:rsidP="00DE4E89">
      <w:r>
        <w:continuationSeparator/>
      </w:r>
    </w:p>
  </w:footnote>
  <w:footnote w:id="1">
    <w:p w:rsidR="00DE4E89" w:rsidRDefault="00DE4E89" w:rsidP="00DE4E89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 </w:t>
      </w:r>
      <w:hyperlink r:id="rId1" w:history="1">
        <w:r w:rsidRPr="009A6114">
          <w:rPr>
            <w:rStyle w:val="Hyperlink"/>
            <w:rFonts w:ascii="Verdana" w:eastAsiaTheme="majorEastAsia" w:hAnsi="Verdana"/>
            <w:sz w:val="18"/>
            <w:szCs w:val="18"/>
          </w:rPr>
          <w:t>www.mrc.ac.uk/Utilities/Documentrecord/index.htm?d=MRC005820</w:t>
        </w:r>
      </w:hyperlink>
      <w:r>
        <w:rPr>
          <w:rFonts w:ascii="Verdana" w:hAnsi="Verdana"/>
          <w:sz w:val="18"/>
          <w:szCs w:val="18"/>
        </w:rPr>
        <w:t xml:space="preserve"> </w:t>
      </w:r>
    </w:p>
  </w:footnote>
  <w:footnote w:id="2">
    <w:p w:rsidR="00DE4E89" w:rsidRDefault="00DE4E89" w:rsidP="00DE4E89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FC1C6E">
        <w:rPr>
          <w:rFonts w:ascii="Verdana" w:hAnsi="Verdana"/>
          <w:sz w:val="18"/>
          <w:szCs w:val="18"/>
        </w:rPr>
        <w:t>This does not include locally employed staff in the MRC Units in The Gambia and Uganda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3182"/>
    <w:multiLevelType w:val="hybridMultilevel"/>
    <w:tmpl w:val="081421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4A4DBE"/>
    <w:multiLevelType w:val="hybridMultilevel"/>
    <w:tmpl w:val="98D80EEA"/>
    <w:lvl w:ilvl="0" w:tplc="70FC114A">
      <w:start w:val="1"/>
      <w:numFmt w:val="lowerRoman"/>
      <w:lvlText w:val="%1)"/>
      <w:lvlJc w:val="left"/>
      <w:pPr>
        <w:ind w:left="1080" w:hanging="720"/>
      </w:pPr>
      <w:rPr>
        <w:rFonts w:eastAsia="Calibri" w:cs="DIN-Ligh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676DC"/>
    <w:multiLevelType w:val="hybridMultilevel"/>
    <w:tmpl w:val="507E4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89"/>
    <w:rsid w:val="00015432"/>
    <w:rsid w:val="002C133D"/>
    <w:rsid w:val="003658BA"/>
    <w:rsid w:val="004371CE"/>
    <w:rsid w:val="005A1096"/>
    <w:rsid w:val="006927F4"/>
    <w:rsid w:val="00BC15FE"/>
    <w:rsid w:val="00C47D8D"/>
    <w:rsid w:val="00CE0C5D"/>
    <w:rsid w:val="00D3361C"/>
    <w:rsid w:val="00DE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E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8BA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8B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B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8B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58B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58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B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8B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8BA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658B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8B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58B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658B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58BA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58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B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8BA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8B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658B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658B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58B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58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58BA"/>
    <w:rPr>
      <w:i/>
      <w:iCs/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rsid w:val="00DE4E8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E89"/>
    <w:rPr>
      <w:rFonts w:ascii="Times New Roman" w:eastAsia="Times New Roman" w:hAnsi="Times New Roman" w:cs="Times New Roman"/>
      <w:lang w:eastAsia="en-GB"/>
    </w:rPr>
  </w:style>
  <w:style w:type="character" w:styleId="FootnoteReference">
    <w:name w:val="footnote reference"/>
    <w:uiPriority w:val="99"/>
    <w:semiHidden/>
    <w:rsid w:val="00DE4E89"/>
    <w:rPr>
      <w:vertAlign w:val="superscript"/>
    </w:rPr>
  </w:style>
  <w:style w:type="paragraph" w:styleId="Header">
    <w:name w:val="header"/>
    <w:basedOn w:val="Normal"/>
    <w:link w:val="HeaderChar"/>
    <w:rsid w:val="00DE4E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E4E89"/>
    <w:rPr>
      <w:rFonts w:ascii="Times New Roman" w:eastAsia="Times New Roman" w:hAnsi="Times New Roman" w:cs="Times New Roman"/>
      <w:sz w:val="22"/>
      <w:lang w:eastAsia="en-GB"/>
    </w:rPr>
  </w:style>
  <w:style w:type="paragraph" w:styleId="Footer">
    <w:name w:val="footer"/>
    <w:basedOn w:val="Normal"/>
    <w:link w:val="FooterChar"/>
    <w:rsid w:val="00DE4E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E4E89"/>
    <w:rPr>
      <w:rFonts w:ascii="Times New Roman" w:eastAsia="Times New Roman" w:hAnsi="Times New Roman" w:cs="Times New Roman"/>
      <w:sz w:val="22"/>
      <w:lang w:eastAsia="en-GB"/>
    </w:rPr>
  </w:style>
  <w:style w:type="character" w:styleId="Hyperlink">
    <w:name w:val="Hyperlink"/>
    <w:rsid w:val="00DE4E89"/>
    <w:rPr>
      <w:strike w:val="0"/>
      <w:dstrike w:val="0"/>
      <w:color w:val="0F004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E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8BA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8B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B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8B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58B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58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B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8B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8BA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658B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8B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58B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658B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58BA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58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B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8BA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8B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658B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658B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58B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58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58BA"/>
    <w:rPr>
      <w:i/>
      <w:iCs/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rsid w:val="00DE4E8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E89"/>
    <w:rPr>
      <w:rFonts w:ascii="Times New Roman" w:eastAsia="Times New Roman" w:hAnsi="Times New Roman" w:cs="Times New Roman"/>
      <w:lang w:eastAsia="en-GB"/>
    </w:rPr>
  </w:style>
  <w:style w:type="character" w:styleId="FootnoteReference">
    <w:name w:val="footnote reference"/>
    <w:uiPriority w:val="99"/>
    <w:semiHidden/>
    <w:rsid w:val="00DE4E89"/>
    <w:rPr>
      <w:vertAlign w:val="superscript"/>
    </w:rPr>
  </w:style>
  <w:style w:type="paragraph" w:styleId="Header">
    <w:name w:val="header"/>
    <w:basedOn w:val="Normal"/>
    <w:link w:val="HeaderChar"/>
    <w:rsid w:val="00DE4E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E4E89"/>
    <w:rPr>
      <w:rFonts w:ascii="Times New Roman" w:eastAsia="Times New Roman" w:hAnsi="Times New Roman" w:cs="Times New Roman"/>
      <w:sz w:val="22"/>
      <w:lang w:eastAsia="en-GB"/>
    </w:rPr>
  </w:style>
  <w:style w:type="paragraph" w:styleId="Footer">
    <w:name w:val="footer"/>
    <w:basedOn w:val="Normal"/>
    <w:link w:val="FooterChar"/>
    <w:rsid w:val="00DE4E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E4E89"/>
    <w:rPr>
      <w:rFonts w:ascii="Times New Roman" w:eastAsia="Times New Roman" w:hAnsi="Times New Roman" w:cs="Times New Roman"/>
      <w:sz w:val="22"/>
      <w:lang w:eastAsia="en-GB"/>
    </w:rPr>
  </w:style>
  <w:style w:type="character" w:styleId="Hyperlink">
    <w:name w:val="Hyperlink"/>
    <w:rsid w:val="00DE4E89"/>
    <w:rPr>
      <w:strike w:val="0"/>
      <w:dstrike w:val="0"/>
      <w:color w:val="0F004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uk.ac.uk/Publications/researchers/Pages/grc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c.ac.uk/Utilities/Documentrecord/index.htm?d=MRC005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Rawle Frances</dc:creator>
  <cp:lastModifiedBy>Toni-Jo Henderson</cp:lastModifiedBy>
  <cp:revision>2</cp:revision>
  <dcterms:created xsi:type="dcterms:W3CDTF">2015-02-27T12:41:00Z</dcterms:created>
  <dcterms:modified xsi:type="dcterms:W3CDTF">2015-02-27T12:41:00Z</dcterms:modified>
</cp:coreProperties>
</file>