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03" w:rsidRDefault="00C21503" w:rsidP="00C21503">
      <w:pPr>
        <w:rPr>
          <w:rFonts w:ascii="Verdana" w:hAnsi="Verdana" w:cs="Arial"/>
          <w:sz w:val="20"/>
          <w:lang w:val="en"/>
        </w:rPr>
      </w:pPr>
      <w:bookmarkStart w:id="0" w:name="_GoBack"/>
      <w:bookmarkEnd w:id="0"/>
      <w:r>
        <w:rPr>
          <w:rFonts w:ascii="Verdana" w:hAnsi="Verdana" w:cs="Arial"/>
          <w:sz w:val="20"/>
          <w:lang w:val="en"/>
        </w:rPr>
        <w:t xml:space="preserve">Annual statement from the </w:t>
      </w:r>
      <w:r w:rsidRPr="00485BF1">
        <w:rPr>
          <w:rFonts w:ascii="Verdana" w:hAnsi="Verdana" w:cs="Arial"/>
          <w:b/>
          <w:sz w:val="20"/>
          <w:lang w:val="en"/>
        </w:rPr>
        <w:t>Medical Research Council</w:t>
      </w:r>
      <w:r>
        <w:rPr>
          <w:rFonts w:ascii="Verdana" w:hAnsi="Verdana" w:cs="Arial"/>
          <w:sz w:val="20"/>
          <w:lang w:val="en"/>
        </w:rPr>
        <w:t xml:space="preserve"> on Research Integrity and Scientific Misconduct for the period 1</w:t>
      </w:r>
      <w:r w:rsidRPr="00D20908">
        <w:rPr>
          <w:rFonts w:ascii="Verdana" w:hAnsi="Verdana" w:cs="Arial"/>
          <w:sz w:val="20"/>
          <w:vertAlign w:val="superscript"/>
          <w:lang w:val="en"/>
        </w:rPr>
        <w:t>st</w:t>
      </w:r>
      <w:r>
        <w:rPr>
          <w:rFonts w:ascii="Verdana" w:hAnsi="Verdana" w:cs="Arial"/>
          <w:sz w:val="20"/>
          <w:lang w:val="en"/>
        </w:rPr>
        <w:t xml:space="preserve">  April 2014-31</w:t>
      </w:r>
      <w:r w:rsidRPr="00D20908">
        <w:rPr>
          <w:rFonts w:ascii="Verdana" w:hAnsi="Verdana" w:cs="Arial"/>
          <w:sz w:val="20"/>
          <w:vertAlign w:val="superscript"/>
          <w:lang w:val="en"/>
        </w:rPr>
        <w:t>st</w:t>
      </w:r>
      <w:r>
        <w:rPr>
          <w:rFonts w:ascii="Verdana" w:hAnsi="Verdana" w:cs="Arial"/>
          <w:sz w:val="20"/>
          <w:lang w:val="en"/>
        </w:rPr>
        <w:t xml:space="preserve">  March 2015</w:t>
      </w:r>
    </w:p>
    <w:p w:rsidR="00C21503" w:rsidRDefault="00C21503" w:rsidP="00C21503">
      <w:pPr>
        <w:pStyle w:val="NoSpacing"/>
        <w:rPr>
          <w:rFonts w:cs="Arial"/>
          <w:lang w:val="en"/>
        </w:rPr>
      </w:pPr>
    </w:p>
    <w:p w:rsidR="00C21503" w:rsidRPr="00C3055A" w:rsidRDefault="00C21503" w:rsidP="00C21503">
      <w:pPr>
        <w:pStyle w:val="NoSpacing"/>
        <w:rPr>
          <w:rFonts w:cs="Arial"/>
          <w:lang w:val="en"/>
        </w:rPr>
      </w:pPr>
    </w:p>
    <w:p w:rsidR="00C21503" w:rsidRDefault="00C21503" w:rsidP="00C21503">
      <w:pPr>
        <w:ind w:left="1080"/>
        <w:rPr>
          <w:rFonts w:ascii="Verdana" w:hAnsi="Verdana" w:cs="Arial"/>
          <w:sz w:val="20"/>
          <w:lang w:val="en"/>
        </w:rPr>
      </w:pPr>
    </w:p>
    <w:p w:rsidR="00C21503" w:rsidRPr="003A5286" w:rsidRDefault="00C21503" w:rsidP="00C21503">
      <w:pPr>
        <w:pStyle w:val="NoSpacing"/>
        <w:numPr>
          <w:ilvl w:val="0"/>
          <w:numId w:val="2"/>
        </w:numPr>
        <w:tabs>
          <w:tab w:val="left" w:pos="709"/>
        </w:tabs>
        <w:ind w:left="709"/>
        <w:rPr>
          <w:rFonts w:eastAsia="Times New Roman" w:cs="Arial"/>
          <w:u w:val="single"/>
          <w:lang w:eastAsia="en-GB"/>
        </w:rPr>
      </w:pPr>
      <w:r w:rsidRPr="003A5286">
        <w:rPr>
          <w:rFonts w:cs="DIN-Light"/>
          <w:u w:val="single"/>
          <w:lang w:eastAsia="en-GB"/>
        </w:rPr>
        <w:t>Summary of actions and activities that have been undertaken to support and strengthen understanding and application of research integrity issues</w:t>
      </w:r>
    </w:p>
    <w:p w:rsidR="00C21503" w:rsidRPr="008548AE" w:rsidRDefault="00C21503" w:rsidP="00C21503">
      <w:pPr>
        <w:pStyle w:val="NoSpacing"/>
        <w:rPr>
          <w:lang w:eastAsia="en-GB"/>
        </w:rPr>
      </w:pPr>
    </w:p>
    <w:p w:rsidR="00C21503" w:rsidRDefault="00C21503" w:rsidP="00C21503">
      <w:pPr>
        <w:pStyle w:val="NoSpacing"/>
        <w:numPr>
          <w:ilvl w:val="0"/>
          <w:numId w:val="3"/>
        </w:numPr>
        <w:rPr>
          <w:lang w:val="en" w:eastAsia="en-GB"/>
        </w:rPr>
      </w:pPr>
      <w:r>
        <w:rPr>
          <w:lang w:val="en" w:eastAsia="en-GB"/>
        </w:rPr>
        <w:t>In January 2015, staff from MRC Head Office delivered a training course</w:t>
      </w:r>
      <w:r w:rsidRPr="00393AB4">
        <w:rPr>
          <w:lang w:val="en" w:eastAsia="en-GB"/>
        </w:rPr>
        <w:t xml:space="preserve"> </w:t>
      </w:r>
      <w:r>
        <w:rPr>
          <w:lang w:val="en" w:eastAsia="en-GB"/>
        </w:rPr>
        <w:t>on the importance of Good Research Practice at the MRC Toxicology Unit, attended by the majority of scientific and technical staff</w:t>
      </w:r>
      <w:r w:rsidRPr="008548AE">
        <w:rPr>
          <w:lang w:val="en" w:eastAsia="en-GB"/>
        </w:rPr>
        <w:t>.</w:t>
      </w:r>
    </w:p>
    <w:p w:rsidR="00C21503" w:rsidRPr="007B2DC3" w:rsidRDefault="00C21503" w:rsidP="00C21503">
      <w:pPr>
        <w:pStyle w:val="NoSpacing"/>
        <w:numPr>
          <w:ilvl w:val="0"/>
          <w:numId w:val="3"/>
        </w:numPr>
        <w:rPr>
          <w:rFonts w:cs="Arial"/>
          <w:lang w:val="en"/>
        </w:rPr>
      </w:pPr>
      <w:r>
        <w:rPr>
          <w:lang w:eastAsia="en-GB"/>
        </w:rPr>
        <w:t xml:space="preserve">An </w:t>
      </w:r>
      <w:r w:rsidRPr="00393AB4">
        <w:rPr>
          <w:lang w:eastAsia="en-GB"/>
        </w:rPr>
        <w:t>on-</w:t>
      </w:r>
      <w:r>
        <w:rPr>
          <w:lang w:val="en" w:eastAsia="en-GB"/>
        </w:rPr>
        <w:t xml:space="preserve">line introductory e-learning module based on the MRC’s Good Research Practice Guidance was published in December 2014 and is available to anyone via the training section of the </w:t>
      </w:r>
      <w:hyperlink r:id="rId9" w:history="1">
        <w:r w:rsidRPr="00C21503">
          <w:rPr>
            <w:rStyle w:val="Hyperlink"/>
            <w:color w:val="0070C0"/>
            <w:u w:val="single"/>
            <w:lang w:val="en" w:eastAsia="en-GB"/>
          </w:rPr>
          <w:t>MRC Regulatory Support Centre web site</w:t>
        </w:r>
      </w:hyperlink>
      <w:r>
        <w:rPr>
          <w:lang w:val="en" w:eastAsia="en-GB"/>
        </w:rPr>
        <w:t>.</w:t>
      </w:r>
    </w:p>
    <w:p w:rsidR="00C21503" w:rsidRPr="007D7CDA" w:rsidRDefault="00C21503" w:rsidP="00C21503">
      <w:pPr>
        <w:pStyle w:val="NoSpacing"/>
        <w:numPr>
          <w:ilvl w:val="0"/>
          <w:numId w:val="3"/>
        </w:numPr>
        <w:rPr>
          <w:rFonts w:cs="Arial"/>
          <w:lang w:val="en"/>
        </w:rPr>
      </w:pPr>
      <w:r>
        <w:t xml:space="preserve">A new policy and guidance on declarations of interest for MRC staff has been developed in consultation with the </w:t>
      </w:r>
      <w:r w:rsidR="00192CB6">
        <w:t>MRC Trade Union Side</w:t>
      </w:r>
      <w:r>
        <w:rPr>
          <w:rStyle w:val="FootnoteReference"/>
        </w:rPr>
        <w:footnoteReference w:id="1"/>
      </w:r>
      <w:r>
        <w:t>.</w:t>
      </w:r>
    </w:p>
    <w:p w:rsidR="00C21503" w:rsidRPr="00485BF1" w:rsidRDefault="00C21503" w:rsidP="00C21503">
      <w:pPr>
        <w:pStyle w:val="NoSpacing"/>
        <w:numPr>
          <w:ilvl w:val="0"/>
          <w:numId w:val="3"/>
        </w:numPr>
        <w:rPr>
          <w:rFonts w:cs="Arial"/>
          <w:lang w:val="en"/>
        </w:rPr>
      </w:pPr>
      <w:r>
        <w:t>An updated version of the MRC’s guidance document “Human Tissue and Biological Samples for Use in Research: Operational and Ethical Guidelines” was published in November 2014.</w:t>
      </w:r>
    </w:p>
    <w:p w:rsidR="00C21503" w:rsidRDefault="00C21503" w:rsidP="00C21503">
      <w:pPr>
        <w:rPr>
          <w:rFonts w:ascii="Verdana" w:hAnsi="Verdana" w:cs="Arial"/>
          <w:sz w:val="20"/>
          <w:lang w:val="en"/>
        </w:rPr>
      </w:pPr>
    </w:p>
    <w:p w:rsidR="00C21503" w:rsidRPr="00C5185C" w:rsidRDefault="00C21503" w:rsidP="00C21503">
      <w:pPr>
        <w:pStyle w:val="NoSpacing"/>
        <w:numPr>
          <w:ilvl w:val="0"/>
          <w:numId w:val="2"/>
        </w:numPr>
        <w:ind w:left="709"/>
        <w:rPr>
          <w:rFonts w:eastAsia="Times New Roman" w:cs="Arial"/>
          <w:u w:val="single"/>
          <w:lang w:eastAsia="en-GB"/>
        </w:rPr>
      </w:pPr>
      <w:r w:rsidRPr="00C5185C">
        <w:rPr>
          <w:rFonts w:cs="DIN-Light"/>
          <w:u w:val="single"/>
          <w:lang w:eastAsia="en-GB"/>
        </w:rPr>
        <w:t>As</w:t>
      </w:r>
      <w:r>
        <w:rPr>
          <w:rFonts w:cs="DIN-Light"/>
          <w:u w:val="single"/>
          <w:lang w:eastAsia="en-GB"/>
        </w:rPr>
        <w:t>surances that the processes employers</w:t>
      </w:r>
      <w:r w:rsidRPr="00C5185C">
        <w:rPr>
          <w:rFonts w:cs="DIN-Light"/>
          <w:u w:val="single"/>
          <w:lang w:eastAsia="en-GB"/>
        </w:rPr>
        <w:t xml:space="preserve"> have in place </w:t>
      </w:r>
      <w:r>
        <w:rPr>
          <w:rFonts w:cs="DIN-Light"/>
          <w:u w:val="single"/>
          <w:lang w:eastAsia="en-GB"/>
        </w:rPr>
        <w:t xml:space="preserve">for dealing with allegations of </w:t>
      </w:r>
      <w:r w:rsidRPr="00C5185C">
        <w:rPr>
          <w:rFonts w:cs="DIN-Light"/>
          <w:u w:val="single"/>
          <w:lang w:eastAsia="en-GB"/>
        </w:rPr>
        <w:t>misconduct are transparent, robust and fair, and that they continue to be appropriate to the needs of the organisation.</w:t>
      </w:r>
    </w:p>
    <w:p w:rsidR="00C21503" w:rsidRDefault="00C21503" w:rsidP="00C21503">
      <w:pPr>
        <w:pStyle w:val="NoSpacing"/>
        <w:rPr>
          <w:rFonts w:eastAsia="Times New Roman" w:cs="Arial"/>
          <w:lang w:eastAsia="en-GB"/>
        </w:rPr>
      </w:pPr>
    </w:p>
    <w:p w:rsidR="00C21503" w:rsidRPr="00D86751" w:rsidRDefault="00C21503" w:rsidP="00C21503">
      <w:pPr>
        <w:pStyle w:val="NoSpacing"/>
        <w:numPr>
          <w:ilvl w:val="0"/>
          <w:numId w:val="1"/>
        </w:numPr>
        <w:ind w:left="1069"/>
        <w:rPr>
          <w:rFonts w:eastAsia="Times New Roman" w:cs="Arial"/>
          <w:lang w:eastAsia="en-GB"/>
        </w:rPr>
      </w:pPr>
      <w:r w:rsidRPr="00485BF1">
        <w:rPr>
          <w:rFonts w:eastAsia="Times New Roman" w:cs="Arial"/>
          <w:lang w:eastAsia="en-GB"/>
        </w:rPr>
        <w:t>The MRC’s ‘</w:t>
      </w:r>
      <w:r w:rsidRPr="00485BF1">
        <w:rPr>
          <w:rFonts w:eastAsia="Times New Roman"/>
          <w:bCs/>
          <w:lang w:val="en" w:eastAsia="en-GB"/>
        </w:rPr>
        <w:t xml:space="preserve">Scientific misconduct policy and procedure’ </w:t>
      </w:r>
      <w:r>
        <w:rPr>
          <w:rFonts w:eastAsia="Times New Roman"/>
          <w:bCs/>
          <w:lang w:val="en" w:eastAsia="en-GB"/>
        </w:rPr>
        <w:t xml:space="preserve">has been updated and the new version entitled </w:t>
      </w:r>
      <w:hyperlink r:id="rId10" w:history="1">
        <w:r w:rsidRPr="00C21503">
          <w:rPr>
            <w:rStyle w:val="Hyperlink"/>
            <w:rFonts w:eastAsia="Times New Roman"/>
            <w:bCs/>
            <w:color w:val="0070C0"/>
            <w:u w:val="single"/>
            <w:lang w:val="en" w:eastAsia="en-GB"/>
          </w:rPr>
          <w:t>MRC Policy and Procedure for investigating allegations of research misconduct</w:t>
        </w:r>
      </w:hyperlink>
      <w:r>
        <w:rPr>
          <w:rFonts w:eastAsia="Times New Roman"/>
          <w:bCs/>
          <w:lang w:val="en" w:eastAsia="en-GB"/>
        </w:rPr>
        <w:t xml:space="preserve"> was published in November 2014 following </w:t>
      </w:r>
      <w:r w:rsidR="00F52D53">
        <w:rPr>
          <w:rFonts w:eastAsia="Times New Roman"/>
          <w:bCs/>
          <w:lang w:val="en" w:eastAsia="en-GB"/>
        </w:rPr>
        <w:t>consultations with the MRC Trade Union Side</w:t>
      </w:r>
      <w:r>
        <w:rPr>
          <w:rFonts w:eastAsia="Times New Roman"/>
          <w:bCs/>
          <w:lang w:val="en" w:eastAsia="en-GB"/>
        </w:rPr>
        <w:t>.</w:t>
      </w:r>
    </w:p>
    <w:p w:rsidR="00F52D53" w:rsidRDefault="00F52D53" w:rsidP="00F52D53">
      <w:pPr>
        <w:pStyle w:val="NoSpacing"/>
        <w:ind w:firstLine="709"/>
        <w:rPr>
          <w:rFonts w:eastAsia="Times New Roman" w:cs="Arial"/>
          <w:lang w:eastAsia="en-GB"/>
        </w:rPr>
      </w:pPr>
    </w:p>
    <w:p w:rsidR="00C21503" w:rsidRDefault="00C21503" w:rsidP="00F52D53">
      <w:pPr>
        <w:pStyle w:val="NoSpacing"/>
        <w:ind w:firstLine="709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As yet we have no experience of</w:t>
      </w:r>
      <w:r w:rsidR="00F52D53">
        <w:rPr>
          <w:rFonts w:eastAsia="Times New Roman" w:cs="Arial"/>
          <w:lang w:eastAsia="en-GB"/>
        </w:rPr>
        <w:t xml:space="preserve"> dealing with allegations us</w:t>
      </w:r>
      <w:r>
        <w:rPr>
          <w:rFonts w:eastAsia="Times New Roman" w:cs="Arial"/>
          <w:lang w:eastAsia="en-GB"/>
        </w:rPr>
        <w:t>ing the updated procedure</w:t>
      </w:r>
      <w:r w:rsidR="00F52D53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C21503" w:rsidRDefault="00C21503" w:rsidP="00C21503">
      <w:pPr>
        <w:pStyle w:val="NoSpacing"/>
        <w:rPr>
          <w:rFonts w:eastAsia="Times New Roman" w:cs="Arial"/>
          <w:lang w:eastAsia="en-GB"/>
        </w:rPr>
      </w:pPr>
    </w:p>
    <w:p w:rsidR="00C21503" w:rsidRPr="003B160D" w:rsidRDefault="00C21503" w:rsidP="00C21503">
      <w:pPr>
        <w:pStyle w:val="NoSpacing"/>
        <w:numPr>
          <w:ilvl w:val="0"/>
          <w:numId w:val="2"/>
        </w:numPr>
        <w:ind w:left="709"/>
        <w:rPr>
          <w:rFonts w:cs="DIN-Light"/>
          <w:u w:val="single"/>
          <w:lang w:eastAsia="en-GB"/>
        </w:rPr>
      </w:pPr>
      <w:r w:rsidRPr="00D92CE7">
        <w:rPr>
          <w:rFonts w:cs="DIN-Light"/>
          <w:u w:val="single"/>
          <w:lang w:eastAsia="en-GB"/>
        </w:rPr>
        <w:t>High-level statement on any formal investigations of research misconduct/</w:t>
      </w:r>
      <w:r w:rsidRPr="003B160D">
        <w:rPr>
          <w:rFonts w:cs="DIN-Light"/>
          <w:u w:val="single"/>
          <w:lang w:eastAsia="en-GB"/>
        </w:rPr>
        <w:t>Statistics</w:t>
      </w:r>
    </w:p>
    <w:p w:rsidR="00C21503" w:rsidRDefault="00C21503" w:rsidP="00C21503">
      <w:pPr>
        <w:pStyle w:val="NoSpacing"/>
        <w:rPr>
          <w:rFonts w:eastAsia="Times New Roman" w:cs="Arial"/>
          <w:lang w:eastAsia="en-GB"/>
        </w:rPr>
      </w:pPr>
    </w:p>
    <w:p w:rsidR="00C21503" w:rsidRDefault="00C21503" w:rsidP="00C21503">
      <w:pPr>
        <w:pStyle w:val="NoSpacing"/>
        <w:ind w:left="709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The following information concerns allegations made against current or former </w:t>
      </w:r>
      <w:r w:rsidRPr="00D92CE7">
        <w:rPr>
          <w:rFonts w:eastAsia="Times New Roman" w:cs="Arial"/>
          <w:u w:val="single"/>
          <w:lang w:eastAsia="en-GB"/>
        </w:rPr>
        <w:t>MRC employees</w:t>
      </w:r>
      <w:r w:rsidRPr="00956D04">
        <w:rPr>
          <w:rFonts w:eastAsia="Times New Roman" w:cs="Arial"/>
          <w:u w:val="single"/>
          <w:lang w:eastAsia="en-GB"/>
        </w:rPr>
        <w:t xml:space="preserve"> </w:t>
      </w:r>
      <w:r>
        <w:rPr>
          <w:rFonts w:eastAsia="Times New Roman" w:cs="Arial"/>
          <w:u w:val="single"/>
          <w:lang w:eastAsia="en-GB"/>
        </w:rPr>
        <w:t>or PhD students in MRC establishments</w:t>
      </w:r>
      <w:r>
        <w:rPr>
          <w:rFonts w:eastAsia="Times New Roman" w:cs="Arial"/>
          <w:lang w:eastAsia="en-GB"/>
        </w:rPr>
        <w:t>.</w:t>
      </w:r>
    </w:p>
    <w:p w:rsidR="00C21503" w:rsidRDefault="00C21503" w:rsidP="00C21503">
      <w:pPr>
        <w:pStyle w:val="NoSpacing"/>
        <w:rPr>
          <w:rFonts w:eastAsia="Times New Roman" w:cs="Arial"/>
          <w:lang w:eastAsia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134"/>
      </w:tblGrid>
      <w:tr w:rsidR="00C21503" w:rsidTr="003041D9">
        <w:tc>
          <w:tcPr>
            <w:tcW w:w="7229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t>Number of investigations that were underway during the year</w:t>
            </w:r>
          </w:p>
        </w:tc>
        <w:tc>
          <w:tcPr>
            <w:tcW w:w="1134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</w:tr>
      <w:tr w:rsidR="00C21503" w:rsidTr="003041D9">
        <w:tc>
          <w:tcPr>
            <w:tcW w:w="7229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</w:pPr>
            <w:r w:rsidRPr="00F024F9">
              <w:t>Of these the number that started during the year</w:t>
            </w:r>
          </w:p>
        </w:tc>
        <w:tc>
          <w:tcPr>
            <w:tcW w:w="1134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</w:tr>
      <w:tr w:rsidR="00C21503" w:rsidTr="003041D9">
        <w:tc>
          <w:tcPr>
            <w:tcW w:w="7229" w:type="dxa"/>
            <w:vMerge w:val="restart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</w:pPr>
            <w:r w:rsidRPr="00F024F9">
              <w:t xml:space="preserve">Number of investigations completed during the year:  </w:t>
            </w:r>
            <w:proofErr w:type="spellStart"/>
            <w:r w:rsidRPr="00F024F9">
              <w:t>i</w:t>
            </w:r>
            <w:proofErr w:type="spellEnd"/>
            <w:r w:rsidRPr="00F024F9">
              <w:t>) upheld</w:t>
            </w:r>
          </w:p>
          <w:p w:rsidR="00C21503" w:rsidRPr="00F024F9" w:rsidRDefault="00C21503" w:rsidP="003041D9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rPr>
                <w:rFonts w:eastAsia="Times New Roman" w:cs="Arial"/>
                <w:lang w:eastAsia="en-GB"/>
              </w:rPr>
              <w:t xml:space="preserve">                                                                              ii)not upheld</w:t>
            </w:r>
          </w:p>
        </w:tc>
        <w:tc>
          <w:tcPr>
            <w:tcW w:w="1134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</w:tr>
      <w:tr w:rsidR="00C21503" w:rsidTr="003041D9">
        <w:tc>
          <w:tcPr>
            <w:tcW w:w="7229" w:type="dxa"/>
            <w:vMerge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 w:rsidRPr="00F024F9">
              <w:rPr>
                <w:rFonts w:eastAsia="Times New Roman" w:cs="Arial"/>
                <w:lang w:eastAsia="en-GB"/>
              </w:rPr>
              <w:t>0</w:t>
            </w:r>
          </w:p>
        </w:tc>
      </w:tr>
      <w:tr w:rsidR="00C21503" w:rsidTr="003041D9">
        <w:tc>
          <w:tcPr>
            <w:tcW w:w="7229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t>Number of allegations that did not proceed to a full investigation*</w:t>
            </w:r>
          </w:p>
        </w:tc>
        <w:tc>
          <w:tcPr>
            <w:tcW w:w="1134" w:type="dxa"/>
            <w:shd w:val="clear" w:color="auto" w:fill="auto"/>
          </w:tcPr>
          <w:p w:rsidR="00C21503" w:rsidRPr="00F024F9" w:rsidRDefault="00C21503" w:rsidP="003041D9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</w:tr>
    </w:tbl>
    <w:p w:rsidR="00C21503" w:rsidRDefault="00C21503" w:rsidP="00C21503">
      <w:pPr>
        <w:pStyle w:val="NoSpacing"/>
        <w:rPr>
          <w:rFonts w:eastAsia="Times New Roman" w:cs="Arial"/>
          <w:lang w:eastAsia="en-GB"/>
        </w:rPr>
      </w:pPr>
    </w:p>
    <w:p w:rsidR="00C21503" w:rsidRDefault="00C21503" w:rsidP="00C21503">
      <w:pPr>
        <w:pStyle w:val="NoSpacing"/>
      </w:pPr>
    </w:p>
    <w:p w:rsidR="00C21503" w:rsidRPr="003A5286" w:rsidRDefault="00C21503" w:rsidP="00C21503">
      <w:pPr>
        <w:pStyle w:val="NoSpacing"/>
        <w:ind w:left="720"/>
      </w:pPr>
      <w:r w:rsidRPr="003A5286">
        <w:t>As an indicator of scale, the number of MRC employees as at 31/3/1</w:t>
      </w:r>
      <w:r>
        <w:t>5</w:t>
      </w:r>
      <w:r w:rsidRPr="003A5286">
        <w:t xml:space="preserve"> was </w:t>
      </w:r>
      <w:r>
        <w:t>2531</w:t>
      </w:r>
      <w:r w:rsidRPr="00E702A7">
        <w:rPr>
          <w:rStyle w:val="FootnoteReference"/>
        </w:rPr>
        <w:footnoteReference w:id="2"/>
      </w:r>
      <w:r w:rsidRPr="00E702A7">
        <w:t>.</w:t>
      </w:r>
    </w:p>
    <w:p w:rsidR="00C21503" w:rsidRPr="003A5286" w:rsidRDefault="00C21503" w:rsidP="00C21503">
      <w:pPr>
        <w:pStyle w:val="NoSpacing"/>
        <w:ind w:left="720"/>
      </w:pPr>
      <w:r w:rsidRPr="003A5286">
        <w:t>[However, of course this does not represent a true denominator as it includes many staff unlikely ever to be in a position to commit research misconduct].</w:t>
      </w:r>
    </w:p>
    <w:p w:rsidR="00C21503" w:rsidRDefault="00C21503" w:rsidP="00C21503">
      <w:pPr>
        <w:rPr>
          <w:rFonts w:ascii="Verdana" w:hAnsi="Verdana" w:cs="Arial"/>
          <w:sz w:val="20"/>
          <w:lang w:val="en"/>
        </w:rPr>
      </w:pPr>
    </w:p>
    <w:p w:rsidR="00C21503" w:rsidRDefault="00C21503" w:rsidP="00C21503">
      <w:pPr>
        <w:rPr>
          <w:rFonts w:ascii="Verdana" w:hAnsi="Verdana" w:cs="Arial"/>
          <w:sz w:val="20"/>
          <w:lang w:val="en"/>
        </w:rPr>
      </w:pPr>
    </w:p>
    <w:p w:rsidR="00C21503" w:rsidRDefault="00C21503" w:rsidP="00C21503"/>
    <w:p w:rsidR="004371CE" w:rsidRPr="004371CE" w:rsidRDefault="004371CE" w:rsidP="004371CE">
      <w:pPr>
        <w:rPr>
          <w:rStyle w:val="Strong"/>
          <w:b w:val="0"/>
          <w:bCs w:val="0"/>
        </w:rPr>
      </w:pPr>
    </w:p>
    <w:sectPr w:rsidR="004371CE" w:rsidRPr="004371CE" w:rsidSect="001C06E7">
      <w:headerReference w:type="default" r:id="rId11"/>
      <w:pgSz w:w="11906" w:h="16838"/>
      <w:pgMar w:top="96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78" w:rsidRDefault="00D24478" w:rsidP="00C21503">
      <w:r>
        <w:separator/>
      </w:r>
    </w:p>
  </w:endnote>
  <w:endnote w:type="continuationSeparator" w:id="0">
    <w:p w:rsidR="00D24478" w:rsidRDefault="00D24478" w:rsidP="00C2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78" w:rsidRDefault="00D24478" w:rsidP="00C21503">
      <w:r>
        <w:separator/>
      </w:r>
    </w:p>
  </w:footnote>
  <w:footnote w:type="continuationSeparator" w:id="0">
    <w:p w:rsidR="00D24478" w:rsidRDefault="00D24478" w:rsidP="00C21503">
      <w:r>
        <w:continuationSeparator/>
      </w:r>
    </w:p>
  </w:footnote>
  <w:footnote w:id="1">
    <w:p w:rsidR="00C21503" w:rsidRDefault="00C215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2D53">
        <w:rPr>
          <w:rFonts w:ascii="Verdana" w:hAnsi="Verdana"/>
          <w:sz w:val="18"/>
          <w:szCs w:val="18"/>
        </w:rPr>
        <w:t>In effect from</w:t>
      </w:r>
      <w:r w:rsidRPr="00C21503">
        <w:rPr>
          <w:rFonts w:ascii="Verdana" w:hAnsi="Verdana"/>
          <w:sz w:val="18"/>
          <w:szCs w:val="18"/>
        </w:rPr>
        <w:t xml:space="preserve"> May 2015</w:t>
      </w:r>
    </w:p>
  </w:footnote>
  <w:footnote w:id="2">
    <w:p w:rsidR="00C21503" w:rsidRDefault="00C21503" w:rsidP="00C2150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C1C6E">
        <w:rPr>
          <w:rFonts w:ascii="Verdana" w:hAnsi="Verdana"/>
          <w:sz w:val="18"/>
          <w:szCs w:val="18"/>
        </w:rPr>
        <w:t>This does not include locally employed staff in the MRC Units in The Gambia and Uganda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4B" w:rsidRPr="00C6567B" w:rsidRDefault="00D24478" w:rsidP="00871C95">
    <w:pPr>
      <w:pStyle w:val="Header"/>
      <w:jc w:val="center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182"/>
    <w:multiLevelType w:val="hybridMultilevel"/>
    <w:tmpl w:val="081421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A4DBE"/>
    <w:multiLevelType w:val="hybridMultilevel"/>
    <w:tmpl w:val="98D80EEA"/>
    <w:lvl w:ilvl="0" w:tplc="70FC114A">
      <w:start w:val="1"/>
      <w:numFmt w:val="lowerRoman"/>
      <w:lvlText w:val="%1)"/>
      <w:lvlJc w:val="left"/>
      <w:pPr>
        <w:ind w:left="1080" w:hanging="720"/>
      </w:pPr>
      <w:rPr>
        <w:rFonts w:eastAsia="Calibri" w:cs="DIN-Ligh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76DC"/>
    <w:multiLevelType w:val="hybridMultilevel"/>
    <w:tmpl w:val="507E4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03"/>
    <w:rsid w:val="00192CB6"/>
    <w:rsid w:val="00253046"/>
    <w:rsid w:val="00292ECA"/>
    <w:rsid w:val="002C133D"/>
    <w:rsid w:val="003658BA"/>
    <w:rsid w:val="004371CE"/>
    <w:rsid w:val="00C21503"/>
    <w:rsid w:val="00CE0C5D"/>
    <w:rsid w:val="00D24478"/>
    <w:rsid w:val="00D3361C"/>
    <w:rsid w:val="00F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C215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503"/>
    <w:rPr>
      <w:rFonts w:ascii="Times New Roman" w:eastAsia="Times New Roman" w:hAnsi="Times New Roman" w:cs="Times New Roman"/>
      <w:lang w:eastAsia="en-GB"/>
    </w:rPr>
  </w:style>
  <w:style w:type="character" w:styleId="FootnoteReference">
    <w:name w:val="footnote reference"/>
    <w:uiPriority w:val="99"/>
    <w:semiHidden/>
    <w:rsid w:val="00C21503"/>
    <w:rPr>
      <w:vertAlign w:val="superscript"/>
    </w:rPr>
  </w:style>
  <w:style w:type="paragraph" w:styleId="Header">
    <w:name w:val="header"/>
    <w:basedOn w:val="Normal"/>
    <w:link w:val="HeaderChar"/>
    <w:rsid w:val="00C215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1503"/>
    <w:rPr>
      <w:rFonts w:ascii="Times New Roman" w:eastAsia="Times New Roman" w:hAnsi="Times New Roman" w:cs="Times New Roman"/>
      <w:sz w:val="22"/>
      <w:lang w:eastAsia="en-GB"/>
    </w:rPr>
  </w:style>
  <w:style w:type="character" w:styleId="Hyperlink">
    <w:name w:val="Hyperlink"/>
    <w:rsid w:val="00C21503"/>
    <w:rPr>
      <w:strike w:val="0"/>
      <w:dstrike w:val="0"/>
      <w:color w:val="0F0046"/>
      <w:u w:val="none"/>
      <w:effect w:val="none"/>
    </w:rPr>
  </w:style>
  <w:style w:type="character" w:styleId="CommentReference">
    <w:name w:val="annotation reference"/>
    <w:semiHidden/>
    <w:rsid w:val="00C2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5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5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03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C215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503"/>
    <w:rPr>
      <w:rFonts w:ascii="Times New Roman" w:eastAsia="Times New Roman" w:hAnsi="Times New Roman" w:cs="Times New Roman"/>
      <w:lang w:eastAsia="en-GB"/>
    </w:rPr>
  </w:style>
  <w:style w:type="character" w:styleId="FootnoteReference">
    <w:name w:val="footnote reference"/>
    <w:uiPriority w:val="99"/>
    <w:semiHidden/>
    <w:rsid w:val="00C21503"/>
    <w:rPr>
      <w:vertAlign w:val="superscript"/>
    </w:rPr>
  </w:style>
  <w:style w:type="paragraph" w:styleId="Header">
    <w:name w:val="header"/>
    <w:basedOn w:val="Normal"/>
    <w:link w:val="HeaderChar"/>
    <w:rsid w:val="00C215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1503"/>
    <w:rPr>
      <w:rFonts w:ascii="Times New Roman" w:eastAsia="Times New Roman" w:hAnsi="Times New Roman" w:cs="Times New Roman"/>
      <w:sz w:val="22"/>
      <w:lang w:eastAsia="en-GB"/>
    </w:rPr>
  </w:style>
  <w:style w:type="character" w:styleId="Hyperlink">
    <w:name w:val="Hyperlink"/>
    <w:rsid w:val="00C21503"/>
    <w:rPr>
      <w:strike w:val="0"/>
      <w:dstrike w:val="0"/>
      <w:color w:val="0F0046"/>
      <w:u w:val="none"/>
      <w:effect w:val="none"/>
    </w:rPr>
  </w:style>
  <w:style w:type="character" w:styleId="CommentReference">
    <w:name w:val="annotation reference"/>
    <w:semiHidden/>
    <w:rsid w:val="00C2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5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5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0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rc.ac.uk/research/research-policy-ethics/allegations-of-research-misconduct/research-misconduct-polic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c.ac.uk/research/facilities/regulatory-support-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6762-9EA4-40AC-A7E8-D64E490C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Rawle Frances</dc:creator>
  <cp:lastModifiedBy>Rawle Frances</cp:lastModifiedBy>
  <cp:revision>2</cp:revision>
  <dcterms:created xsi:type="dcterms:W3CDTF">2015-12-21T15:42:00Z</dcterms:created>
  <dcterms:modified xsi:type="dcterms:W3CDTF">2015-12-21T15:42:00Z</dcterms:modified>
</cp:coreProperties>
</file>