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3211" w:rsidRDefault="005E3211" w:rsidP="005E3211">
      <w:pPr>
        <w:pStyle w:val="Default"/>
        <w:rPr>
          <w:rFonts w:ascii="Arial" w:hAnsi="Arial" w:cs="Arial"/>
          <w:sz w:val="22"/>
          <w:szCs w:val="22"/>
        </w:rPr>
      </w:pPr>
      <w:bookmarkStart w:id="0" w:name="_GoBack"/>
      <w:bookmarkEnd w:id="0"/>
      <w:r>
        <w:rPr>
          <w:rFonts w:ascii="Arial" w:hAnsi="Arial" w:cs="Arial"/>
          <w:sz w:val="22"/>
          <w:szCs w:val="22"/>
        </w:rPr>
        <w:t xml:space="preserve">Annual statement from the </w:t>
      </w:r>
      <w:r>
        <w:rPr>
          <w:rFonts w:ascii="Arial" w:hAnsi="Arial" w:cs="Arial"/>
          <w:b/>
          <w:bCs/>
          <w:sz w:val="22"/>
          <w:szCs w:val="22"/>
        </w:rPr>
        <w:t xml:space="preserve">Medical Research Council </w:t>
      </w:r>
      <w:r>
        <w:rPr>
          <w:rFonts w:ascii="Arial" w:hAnsi="Arial" w:cs="Arial"/>
          <w:sz w:val="22"/>
          <w:szCs w:val="22"/>
        </w:rPr>
        <w:t xml:space="preserve">on Research Integrity and Scientific Misconduct for the period 1 April 2017 - 31 March 2018 </w:t>
      </w:r>
    </w:p>
    <w:p w:rsidR="005E3211" w:rsidRDefault="005E3211" w:rsidP="005E3211">
      <w:pPr>
        <w:pStyle w:val="Default"/>
        <w:rPr>
          <w:rFonts w:ascii="Arial" w:hAnsi="Arial" w:cs="Arial"/>
          <w:sz w:val="22"/>
          <w:szCs w:val="22"/>
        </w:rPr>
      </w:pPr>
    </w:p>
    <w:p w:rsidR="005E3211" w:rsidRDefault="005E3211" w:rsidP="005E3211">
      <w:pPr>
        <w:pStyle w:val="Default"/>
        <w:rPr>
          <w:rFonts w:ascii="Arial" w:hAnsi="Arial" w:cs="Arial"/>
          <w:sz w:val="22"/>
          <w:szCs w:val="22"/>
        </w:rPr>
      </w:pPr>
      <w:proofErr w:type="spellStart"/>
      <w:r>
        <w:rPr>
          <w:rFonts w:ascii="Arial" w:hAnsi="Arial" w:cs="Arial"/>
          <w:sz w:val="22"/>
          <w:szCs w:val="22"/>
        </w:rPr>
        <w:t>i</w:t>
      </w:r>
      <w:proofErr w:type="spellEnd"/>
      <w:r>
        <w:rPr>
          <w:rFonts w:ascii="Arial" w:hAnsi="Arial" w:cs="Arial"/>
          <w:sz w:val="22"/>
          <w:szCs w:val="22"/>
        </w:rPr>
        <w:t xml:space="preserve">) Summary of actions and activities that have been undertaken to support and strengthen understanding and application of research integrity issues </w:t>
      </w:r>
    </w:p>
    <w:p w:rsidR="005E3211" w:rsidRDefault="005E3211" w:rsidP="005E3211">
      <w:pPr>
        <w:pStyle w:val="Default"/>
        <w:rPr>
          <w:rFonts w:ascii="Arial" w:hAnsi="Arial" w:cs="Arial"/>
          <w:sz w:val="22"/>
          <w:szCs w:val="22"/>
        </w:rPr>
      </w:pPr>
    </w:p>
    <w:p w:rsidR="005E3211" w:rsidRDefault="005E3211" w:rsidP="005E3211">
      <w:pPr>
        <w:pStyle w:val="Default"/>
        <w:rPr>
          <w:rFonts w:ascii="Arial" w:hAnsi="Arial" w:cs="Arial"/>
          <w:sz w:val="22"/>
          <w:szCs w:val="22"/>
        </w:rPr>
      </w:pPr>
      <w:r>
        <w:rPr>
          <w:rFonts w:ascii="Arial" w:hAnsi="Arial" w:cs="Arial"/>
          <w:sz w:val="22"/>
          <w:szCs w:val="22"/>
        </w:rPr>
        <w:t>The MRC’s e-learning on Good Research Conduct, which is available to all via the MRC Regulatory Support Centre website, continued to be well used during this year, with around 350-400 new users registering each quarter.  MRC staff have contributed to meetings on research integrity, such as the first UK Research Integrity Forum, and the MRC has continued to use the web site and the blog ‘MRC Insight’, to draw attention to resources available to support robust, reproducible research</w:t>
      </w:r>
      <w:r w:rsidRPr="00707C0B">
        <w:rPr>
          <w:rFonts w:ascii="Arial" w:hAnsi="Arial" w:cs="Arial"/>
          <w:sz w:val="22"/>
          <w:szCs w:val="22"/>
        </w:rPr>
        <w:t xml:space="preserve"> </w:t>
      </w:r>
      <w:r>
        <w:rPr>
          <w:rFonts w:ascii="Arial" w:hAnsi="Arial" w:cs="Arial"/>
          <w:sz w:val="22"/>
          <w:szCs w:val="22"/>
        </w:rPr>
        <w:t xml:space="preserve">and research integrity.  We have updated our guidance to applicants and continued to embed changes to the peer review process for funding applications to ensure greater attention is given to experimental design and statistical aspects of the proposed research.  Although research misconduct is not thought to be a major contributor to the recognised problems with reproducibility, many actions to raise awareness of the problem and promote good practice also help to promote research integrity. </w:t>
      </w:r>
    </w:p>
    <w:p w:rsidR="005E3211" w:rsidRDefault="005E3211" w:rsidP="005E3211">
      <w:pPr>
        <w:pStyle w:val="Default"/>
        <w:rPr>
          <w:rFonts w:ascii="Arial" w:hAnsi="Arial" w:cs="Arial"/>
          <w:sz w:val="22"/>
          <w:szCs w:val="22"/>
        </w:rPr>
      </w:pPr>
    </w:p>
    <w:p w:rsidR="005E3211" w:rsidRDefault="005E3211" w:rsidP="005E3211">
      <w:pPr>
        <w:pStyle w:val="Default"/>
        <w:rPr>
          <w:rFonts w:ascii="Arial" w:hAnsi="Arial" w:cs="Arial"/>
          <w:sz w:val="22"/>
          <w:szCs w:val="22"/>
        </w:rPr>
      </w:pPr>
      <w:r>
        <w:rPr>
          <w:rFonts w:ascii="Arial" w:hAnsi="Arial" w:cs="Arial"/>
          <w:sz w:val="22"/>
          <w:szCs w:val="22"/>
        </w:rPr>
        <w:t xml:space="preserve">ii) Assurances that the processes employers have in place for dealing with allegations of misconduct are transparent, robust and fair, and that they continue to be appropriate to the needs of the organisation. </w:t>
      </w:r>
    </w:p>
    <w:p w:rsidR="005E3211" w:rsidRDefault="005E3211" w:rsidP="005E3211">
      <w:pPr>
        <w:pStyle w:val="Default"/>
        <w:rPr>
          <w:rFonts w:ascii="Arial" w:hAnsi="Arial" w:cs="Arial"/>
          <w:sz w:val="22"/>
          <w:szCs w:val="22"/>
        </w:rPr>
      </w:pPr>
    </w:p>
    <w:p w:rsidR="005E3211" w:rsidRDefault="005E3211" w:rsidP="005E3211">
      <w:pPr>
        <w:pStyle w:val="Default"/>
        <w:rPr>
          <w:rFonts w:ascii="Arial" w:hAnsi="Arial" w:cs="Arial"/>
          <w:sz w:val="22"/>
          <w:szCs w:val="22"/>
        </w:rPr>
      </w:pPr>
      <w:r>
        <w:rPr>
          <w:rFonts w:ascii="Arial" w:hAnsi="Arial" w:cs="Arial"/>
          <w:sz w:val="22"/>
          <w:szCs w:val="22"/>
        </w:rPr>
        <w:t xml:space="preserve">The MRC’s ‘Scientific misconduct policy and procedure’ was updated in November 2014. Two allegations have been handled satisfactorily following the updated procedure.  </w:t>
      </w:r>
    </w:p>
    <w:p w:rsidR="005E3211" w:rsidRDefault="005E3211" w:rsidP="005E3211">
      <w:pPr>
        <w:pStyle w:val="Default"/>
        <w:rPr>
          <w:rFonts w:ascii="Arial" w:hAnsi="Arial" w:cs="Arial"/>
          <w:sz w:val="22"/>
          <w:szCs w:val="22"/>
        </w:rPr>
      </w:pPr>
    </w:p>
    <w:p w:rsidR="005E3211" w:rsidRPr="00157716" w:rsidRDefault="005E3211" w:rsidP="005E3211">
      <w:pPr>
        <w:pStyle w:val="Default"/>
        <w:rPr>
          <w:rFonts w:ascii="Arial" w:hAnsi="Arial" w:cs="Arial"/>
          <w:sz w:val="22"/>
          <w:szCs w:val="22"/>
        </w:rPr>
      </w:pPr>
      <w:r w:rsidRPr="00157716">
        <w:rPr>
          <w:rFonts w:ascii="Arial" w:hAnsi="Arial" w:cs="Arial"/>
          <w:sz w:val="22"/>
          <w:szCs w:val="22"/>
        </w:rPr>
        <w:t xml:space="preserve">iii) High-level statement on any formal investigations of research misconduct/Statistics </w:t>
      </w:r>
    </w:p>
    <w:p w:rsidR="005E3211" w:rsidRPr="00157716" w:rsidRDefault="005E3211" w:rsidP="005E3211">
      <w:pPr>
        <w:pStyle w:val="Default"/>
        <w:rPr>
          <w:rFonts w:ascii="Arial" w:hAnsi="Arial" w:cs="Arial"/>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930"/>
        <w:gridCol w:w="3261"/>
        <w:gridCol w:w="3824"/>
        <w:gridCol w:w="367"/>
        <w:gridCol w:w="747"/>
      </w:tblGrid>
      <w:tr w:rsidR="005E3211" w:rsidTr="00CC324C">
        <w:trPr>
          <w:gridAfter w:val="1"/>
          <w:wAfter w:w="747" w:type="dxa"/>
          <w:trHeight w:val="150"/>
        </w:trPr>
        <w:tc>
          <w:tcPr>
            <w:tcW w:w="4191" w:type="dxa"/>
            <w:gridSpan w:val="2"/>
          </w:tcPr>
          <w:p w:rsidR="005E3211" w:rsidRDefault="005E3211" w:rsidP="00CC324C">
            <w:pPr>
              <w:pStyle w:val="Default"/>
              <w:rPr>
                <w:rFonts w:ascii="Arial" w:hAnsi="Arial" w:cs="Arial"/>
                <w:sz w:val="22"/>
                <w:szCs w:val="22"/>
              </w:rPr>
            </w:pPr>
          </w:p>
        </w:tc>
        <w:tc>
          <w:tcPr>
            <w:tcW w:w="4191" w:type="dxa"/>
            <w:gridSpan w:val="2"/>
          </w:tcPr>
          <w:p w:rsidR="005E3211" w:rsidRDefault="005E3211" w:rsidP="00CC324C">
            <w:pPr>
              <w:pStyle w:val="Default"/>
              <w:rPr>
                <w:rFonts w:ascii="Arial" w:hAnsi="Arial" w:cs="Arial"/>
                <w:sz w:val="22"/>
                <w:szCs w:val="22"/>
              </w:rPr>
            </w:pPr>
            <w:r>
              <w:rPr>
                <w:rFonts w:ascii="Arial" w:hAnsi="Arial" w:cs="Arial"/>
                <w:sz w:val="22"/>
                <w:szCs w:val="22"/>
              </w:rPr>
              <w:t xml:space="preserve"> </w:t>
            </w:r>
          </w:p>
        </w:tc>
      </w:tr>
      <w:tr w:rsidR="005E3211" w:rsidRPr="0086598D" w:rsidTr="00CC32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930" w:type="dxa"/>
        </w:trPr>
        <w:tc>
          <w:tcPr>
            <w:tcW w:w="7085" w:type="dxa"/>
            <w:gridSpan w:val="2"/>
            <w:shd w:val="clear" w:color="auto" w:fill="auto"/>
          </w:tcPr>
          <w:p w:rsidR="005E3211" w:rsidRPr="0086598D" w:rsidRDefault="005E3211" w:rsidP="00CC324C">
            <w:pPr>
              <w:pStyle w:val="NoSpacing"/>
              <w:widowControl w:val="0"/>
              <w:rPr>
                <w:rFonts w:eastAsia="Times New Roman" w:cs="Arial"/>
                <w:lang w:eastAsia="en-GB"/>
              </w:rPr>
            </w:pPr>
            <w:r w:rsidRPr="0086598D">
              <w:rPr>
                <w:rFonts w:cs="Arial"/>
              </w:rPr>
              <w:t>Number of full investigations that were underway during the year</w:t>
            </w:r>
          </w:p>
        </w:tc>
        <w:tc>
          <w:tcPr>
            <w:tcW w:w="1114" w:type="dxa"/>
            <w:gridSpan w:val="2"/>
            <w:shd w:val="clear" w:color="auto" w:fill="auto"/>
          </w:tcPr>
          <w:p w:rsidR="005E3211" w:rsidRPr="0086598D" w:rsidRDefault="005E3211" w:rsidP="00CC324C">
            <w:pPr>
              <w:pStyle w:val="NoSpacing"/>
              <w:widowControl w:val="0"/>
              <w:jc w:val="right"/>
              <w:rPr>
                <w:rFonts w:eastAsia="Times New Roman" w:cs="Arial"/>
                <w:lang w:eastAsia="en-GB"/>
              </w:rPr>
            </w:pPr>
            <w:r w:rsidRPr="0086598D">
              <w:rPr>
                <w:rFonts w:eastAsia="Times New Roman" w:cs="Arial"/>
                <w:lang w:eastAsia="en-GB"/>
              </w:rPr>
              <w:t>0</w:t>
            </w:r>
          </w:p>
        </w:tc>
      </w:tr>
      <w:tr w:rsidR="005E3211" w:rsidRPr="0086598D" w:rsidTr="00CC32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930" w:type="dxa"/>
        </w:trPr>
        <w:tc>
          <w:tcPr>
            <w:tcW w:w="7085" w:type="dxa"/>
            <w:gridSpan w:val="2"/>
            <w:shd w:val="clear" w:color="auto" w:fill="auto"/>
          </w:tcPr>
          <w:p w:rsidR="005E3211" w:rsidRPr="0086598D" w:rsidRDefault="005E3211" w:rsidP="00CC324C">
            <w:pPr>
              <w:pStyle w:val="NoSpacing"/>
              <w:widowControl w:val="0"/>
              <w:rPr>
                <w:rFonts w:cs="Arial"/>
              </w:rPr>
            </w:pPr>
            <w:r w:rsidRPr="0086598D">
              <w:rPr>
                <w:rFonts w:cs="Arial"/>
              </w:rPr>
              <w:t>Of these the number that started during the year</w:t>
            </w:r>
          </w:p>
        </w:tc>
        <w:tc>
          <w:tcPr>
            <w:tcW w:w="1114" w:type="dxa"/>
            <w:gridSpan w:val="2"/>
            <w:shd w:val="clear" w:color="auto" w:fill="auto"/>
          </w:tcPr>
          <w:p w:rsidR="005E3211" w:rsidRPr="0086598D" w:rsidRDefault="005E3211" w:rsidP="00CC324C">
            <w:pPr>
              <w:pStyle w:val="NoSpacing"/>
              <w:widowControl w:val="0"/>
              <w:jc w:val="right"/>
              <w:rPr>
                <w:rFonts w:eastAsia="Times New Roman" w:cs="Arial"/>
                <w:lang w:eastAsia="en-GB"/>
              </w:rPr>
            </w:pPr>
            <w:r w:rsidRPr="0086598D">
              <w:rPr>
                <w:rFonts w:eastAsia="Times New Roman" w:cs="Arial"/>
                <w:lang w:eastAsia="en-GB"/>
              </w:rPr>
              <w:t>0</w:t>
            </w:r>
          </w:p>
        </w:tc>
      </w:tr>
      <w:tr w:rsidR="005E3211" w:rsidRPr="0086598D" w:rsidTr="00CC32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930" w:type="dxa"/>
        </w:trPr>
        <w:tc>
          <w:tcPr>
            <w:tcW w:w="7085" w:type="dxa"/>
            <w:gridSpan w:val="2"/>
            <w:vMerge w:val="restart"/>
            <w:shd w:val="clear" w:color="auto" w:fill="auto"/>
          </w:tcPr>
          <w:p w:rsidR="005E3211" w:rsidRPr="0086598D" w:rsidRDefault="005E3211" w:rsidP="00CC324C">
            <w:pPr>
              <w:pStyle w:val="NoSpacing"/>
              <w:widowControl w:val="0"/>
              <w:rPr>
                <w:rFonts w:cs="Arial"/>
              </w:rPr>
            </w:pPr>
            <w:r w:rsidRPr="0086598D">
              <w:rPr>
                <w:rFonts w:cs="Arial"/>
              </w:rPr>
              <w:t xml:space="preserve">Number of investigations completed during the year:  </w:t>
            </w:r>
            <w:proofErr w:type="spellStart"/>
            <w:r w:rsidRPr="0086598D">
              <w:rPr>
                <w:rFonts w:cs="Arial"/>
              </w:rPr>
              <w:t>i</w:t>
            </w:r>
            <w:proofErr w:type="spellEnd"/>
            <w:r w:rsidRPr="0086598D">
              <w:rPr>
                <w:rFonts w:cs="Arial"/>
              </w:rPr>
              <w:t>) upheld</w:t>
            </w:r>
          </w:p>
          <w:p w:rsidR="005E3211" w:rsidRPr="0086598D" w:rsidRDefault="005E3211" w:rsidP="00CC324C">
            <w:pPr>
              <w:pStyle w:val="NoSpacing"/>
              <w:widowControl w:val="0"/>
              <w:rPr>
                <w:rFonts w:eastAsia="Times New Roman" w:cs="Arial"/>
                <w:lang w:eastAsia="en-GB"/>
              </w:rPr>
            </w:pPr>
            <w:r w:rsidRPr="0086598D">
              <w:rPr>
                <w:rFonts w:eastAsia="Times New Roman" w:cs="Arial"/>
                <w:lang w:eastAsia="en-GB"/>
              </w:rPr>
              <w:t xml:space="preserve">                                                                                     ii)not upheld</w:t>
            </w:r>
          </w:p>
        </w:tc>
        <w:tc>
          <w:tcPr>
            <w:tcW w:w="1114" w:type="dxa"/>
            <w:gridSpan w:val="2"/>
            <w:shd w:val="clear" w:color="auto" w:fill="auto"/>
          </w:tcPr>
          <w:p w:rsidR="005E3211" w:rsidRPr="0086598D" w:rsidRDefault="005E3211" w:rsidP="00CC324C">
            <w:pPr>
              <w:pStyle w:val="NoSpacing"/>
              <w:widowControl w:val="0"/>
              <w:jc w:val="right"/>
              <w:rPr>
                <w:rFonts w:eastAsia="Times New Roman" w:cs="Arial"/>
                <w:lang w:eastAsia="en-GB"/>
              </w:rPr>
            </w:pPr>
            <w:r w:rsidRPr="0086598D">
              <w:rPr>
                <w:rFonts w:eastAsia="Times New Roman" w:cs="Arial"/>
                <w:lang w:eastAsia="en-GB"/>
              </w:rPr>
              <w:t>0</w:t>
            </w:r>
          </w:p>
        </w:tc>
      </w:tr>
      <w:tr w:rsidR="005E3211" w:rsidRPr="0086598D" w:rsidTr="00CC32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930" w:type="dxa"/>
        </w:trPr>
        <w:tc>
          <w:tcPr>
            <w:tcW w:w="7085" w:type="dxa"/>
            <w:gridSpan w:val="2"/>
            <w:vMerge/>
            <w:shd w:val="clear" w:color="auto" w:fill="auto"/>
          </w:tcPr>
          <w:p w:rsidR="005E3211" w:rsidRPr="0086598D" w:rsidRDefault="005E3211" w:rsidP="00CC324C">
            <w:pPr>
              <w:pStyle w:val="NoSpacing"/>
              <w:widowControl w:val="0"/>
              <w:rPr>
                <w:rFonts w:eastAsia="Times New Roman" w:cs="Arial"/>
                <w:lang w:eastAsia="en-GB"/>
              </w:rPr>
            </w:pPr>
          </w:p>
        </w:tc>
        <w:tc>
          <w:tcPr>
            <w:tcW w:w="1114" w:type="dxa"/>
            <w:gridSpan w:val="2"/>
            <w:shd w:val="clear" w:color="auto" w:fill="auto"/>
          </w:tcPr>
          <w:p w:rsidR="005E3211" w:rsidRPr="0086598D" w:rsidRDefault="005E3211" w:rsidP="00CC324C">
            <w:pPr>
              <w:pStyle w:val="NoSpacing"/>
              <w:widowControl w:val="0"/>
              <w:jc w:val="right"/>
              <w:rPr>
                <w:rFonts w:eastAsia="Times New Roman" w:cs="Arial"/>
                <w:lang w:eastAsia="en-GB"/>
              </w:rPr>
            </w:pPr>
            <w:r w:rsidRPr="0086598D">
              <w:rPr>
                <w:rFonts w:eastAsia="Times New Roman" w:cs="Arial"/>
                <w:lang w:eastAsia="en-GB"/>
              </w:rPr>
              <w:t>0</w:t>
            </w:r>
          </w:p>
        </w:tc>
      </w:tr>
      <w:tr w:rsidR="005E3211" w:rsidRPr="0086598D" w:rsidTr="00CC32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930" w:type="dxa"/>
        </w:trPr>
        <w:tc>
          <w:tcPr>
            <w:tcW w:w="7085" w:type="dxa"/>
            <w:gridSpan w:val="2"/>
            <w:shd w:val="clear" w:color="auto" w:fill="auto"/>
          </w:tcPr>
          <w:p w:rsidR="005E3211" w:rsidRPr="0086598D" w:rsidRDefault="005E3211" w:rsidP="00CC324C">
            <w:pPr>
              <w:pStyle w:val="NoSpacing"/>
              <w:widowControl w:val="0"/>
              <w:rPr>
                <w:rFonts w:eastAsia="Times New Roman" w:cs="Arial"/>
                <w:lang w:eastAsia="en-GB"/>
              </w:rPr>
            </w:pPr>
            <w:r w:rsidRPr="0086598D">
              <w:rPr>
                <w:rFonts w:cs="Arial"/>
              </w:rPr>
              <w:t>Number of allegations that did not proceed to a full investigation</w:t>
            </w:r>
          </w:p>
        </w:tc>
        <w:tc>
          <w:tcPr>
            <w:tcW w:w="1114" w:type="dxa"/>
            <w:gridSpan w:val="2"/>
            <w:shd w:val="clear" w:color="auto" w:fill="auto"/>
          </w:tcPr>
          <w:p w:rsidR="005E3211" w:rsidRPr="0086598D" w:rsidRDefault="005E3211" w:rsidP="00CC324C">
            <w:pPr>
              <w:pStyle w:val="NoSpacing"/>
              <w:widowControl w:val="0"/>
              <w:jc w:val="right"/>
              <w:rPr>
                <w:rFonts w:eastAsia="Times New Roman" w:cs="Arial"/>
                <w:lang w:eastAsia="en-GB"/>
              </w:rPr>
            </w:pPr>
            <w:r>
              <w:rPr>
                <w:rFonts w:eastAsia="Times New Roman" w:cs="Arial"/>
                <w:lang w:eastAsia="en-GB"/>
              </w:rPr>
              <w:t>0</w:t>
            </w:r>
          </w:p>
        </w:tc>
      </w:tr>
    </w:tbl>
    <w:p w:rsidR="005E3211" w:rsidRDefault="005E3211" w:rsidP="005E3211">
      <w:pPr>
        <w:ind w:firstLine="720"/>
        <w:rPr>
          <w:rFonts w:ascii="Arial" w:hAnsi="Arial" w:cs="Arial"/>
          <w:szCs w:val="22"/>
        </w:rPr>
      </w:pPr>
    </w:p>
    <w:p w:rsidR="005E3211" w:rsidRPr="0086598D" w:rsidRDefault="005E3211" w:rsidP="005E3211">
      <w:pPr>
        <w:pStyle w:val="NoSpacing"/>
        <w:rPr>
          <w:rFonts w:cs="Arial"/>
        </w:rPr>
      </w:pPr>
      <w:r w:rsidRPr="0086598D">
        <w:rPr>
          <w:rFonts w:cs="Arial"/>
        </w:rPr>
        <w:t>As an indicator of scale, the average number of MRC full</w:t>
      </w:r>
      <w:r>
        <w:rPr>
          <w:rFonts w:cs="Arial"/>
        </w:rPr>
        <w:t>-</w:t>
      </w:r>
      <w:r w:rsidRPr="0086598D">
        <w:rPr>
          <w:rFonts w:cs="Arial"/>
        </w:rPr>
        <w:t xml:space="preserve">time </w:t>
      </w:r>
      <w:r>
        <w:rPr>
          <w:rFonts w:cs="Arial"/>
        </w:rPr>
        <w:t>equivalent employees during 2017/18 was 1425</w:t>
      </w:r>
      <w:r w:rsidRPr="0086598D">
        <w:rPr>
          <w:rStyle w:val="FootnoteReference"/>
          <w:rFonts w:cs="Arial"/>
        </w:rPr>
        <w:footnoteReference w:id="1"/>
      </w:r>
      <w:r w:rsidRPr="0086598D">
        <w:rPr>
          <w:rFonts w:cs="Arial"/>
        </w:rPr>
        <w:t>.</w:t>
      </w:r>
      <w:r>
        <w:rPr>
          <w:rFonts w:cs="Arial"/>
        </w:rPr>
        <w:t xml:space="preserve">  </w:t>
      </w:r>
      <w:r w:rsidRPr="0086598D">
        <w:rPr>
          <w:rFonts w:cs="Arial"/>
        </w:rPr>
        <w:t>[However, this includes many staff unlikely ever to be in a position to commit research misconduct].</w:t>
      </w:r>
    </w:p>
    <w:p w:rsidR="005E3211" w:rsidRPr="00194A92" w:rsidRDefault="005E3211" w:rsidP="005E3211">
      <w:pPr>
        <w:ind w:firstLine="720"/>
        <w:rPr>
          <w:rFonts w:ascii="Arial" w:hAnsi="Arial" w:cs="Arial"/>
          <w:szCs w:val="22"/>
        </w:rPr>
      </w:pPr>
    </w:p>
    <w:p w:rsidR="00894501" w:rsidRDefault="00894501"/>
    <w:sectPr w:rsidR="00894501" w:rsidSect="001C06E7">
      <w:headerReference w:type="default" r:id="rId6"/>
      <w:pgSz w:w="11906" w:h="16838"/>
      <w:pgMar w:top="964" w:right="1077" w:bottom="85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64B6" w:rsidRDefault="00AE64B6" w:rsidP="005E3211">
      <w:r>
        <w:separator/>
      </w:r>
    </w:p>
  </w:endnote>
  <w:endnote w:type="continuationSeparator" w:id="0">
    <w:p w:rsidR="00AE64B6" w:rsidRDefault="00AE64B6" w:rsidP="005E3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64B6" w:rsidRDefault="00AE64B6" w:rsidP="005E3211">
      <w:r>
        <w:separator/>
      </w:r>
    </w:p>
  </w:footnote>
  <w:footnote w:type="continuationSeparator" w:id="0">
    <w:p w:rsidR="00AE64B6" w:rsidRDefault="00AE64B6" w:rsidP="005E3211">
      <w:r>
        <w:continuationSeparator/>
      </w:r>
    </w:p>
  </w:footnote>
  <w:footnote w:id="1">
    <w:p w:rsidR="005E3211" w:rsidRDefault="005E3211" w:rsidP="005E3211">
      <w:pPr>
        <w:pStyle w:val="FootnoteText"/>
      </w:pPr>
      <w:r w:rsidRPr="00360D50">
        <w:rPr>
          <w:rStyle w:val="FootnoteReference"/>
          <w:rFonts w:ascii="Arial" w:hAnsi="Arial" w:cs="Arial"/>
        </w:rPr>
        <w:footnoteRef/>
      </w:r>
      <w:r w:rsidRPr="00360D50">
        <w:rPr>
          <w:rFonts w:ascii="Arial" w:hAnsi="Arial" w:cs="Arial"/>
        </w:rPr>
        <w:t xml:space="preserve"> This does not include</w:t>
      </w:r>
      <w:r w:rsidRPr="00433BB9">
        <w:rPr>
          <w:rFonts w:ascii="Arial" w:hAnsi="Arial" w:cs="Arial"/>
        </w:rPr>
        <w:t xml:space="preserve"> locally employed staff in the MRC Units in The Gambia and Uganda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374B" w:rsidRPr="00C6567B" w:rsidRDefault="00AE64B6" w:rsidP="00871C95">
    <w:pPr>
      <w:pStyle w:val="Header"/>
      <w:jc w:val="center"/>
      <w:rPr>
        <w:rFonts w:ascii="Verdana" w:hAnsi="Verdana"/>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211"/>
    <w:rsid w:val="00166726"/>
    <w:rsid w:val="002B5BCB"/>
    <w:rsid w:val="005E3211"/>
    <w:rsid w:val="00894501"/>
    <w:rsid w:val="00A94333"/>
    <w:rsid w:val="00AE64B6"/>
    <w:rsid w:val="00F11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E166A"/>
  <w15:chartTrackingRefBased/>
  <w15:docId w15:val="{5C3487A2-8586-43E1-81AB-0A47F9747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3211"/>
    <w:pPr>
      <w:widowControl w:val="0"/>
      <w:spacing w:after="0" w:line="240" w:lineRule="auto"/>
    </w:pPr>
    <w:rPr>
      <w:rFonts w:ascii="Times New Roman" w:eastAsia="Times New Roman" w:hAnsi="Times New Roman"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5E3211"/>
    <w:rPr>
      <w:sz w:val="20"/>
    </w:rPr>
  </w:style>
  <w:style w:type="character" w:customStyle="1" w:styleId="FootnoteTextChar">
    <w:name w:val="Footnote Text Char"/>
    <w:basedOn w:val="DefaultParagraphFont"/>
    <w:link w:val="FootnoteText"/>
    <w:uiPriority w:val="99"/>
    <w:semiHidden/>
    <w:rsid w:val="005E3211"/>
    <w:rPr>
      <w:rFonts w:ascii="Times New Roman" w:eastAsia="Times New Roman" w:hAnsi="Times New Roman" w:cs="Times New Roman"/>
      <w:sz w:val="20"/>
      <w:szCs w:val="20"/>
      <w:lang w:eastAsia="en-GB"/>
    </w:rPr>
  </w:style>
  <w:style w:type="character" w:styleId="FootnoteReference">
    <w:name w:val="footnote reference"/>
    <w:uiPriority w:val="99"/>
    <w:rsid w:val="005E3211"/>
    <w:rPr>
      <w:vertAlign w:val="superscript"/>
    </w:rPr>
  </w:style>
  <w:style w:type="paragraph" w:styleId="Header">
    <w:name w:val="header"/>
    <w:basedOn w:val="Normal"/>
    <w:link w:val="HeaderChar"/>
    <w:rsid w:val="005E3211"/>
    <w:pPr>
      <w:tabs>
        <w:tab w:val="center" w:pos="4153"/>
        <w:tab w:val="right" w:pos="8306"/>
      </w:tabs>
    </w:pPr>
  </w:style>
  <w:style w:type="character" w:customStyle="1" w:styleId="HeaderChar">
    <w:name w:val="Header Char"/>
    <w:basedOn w:val="DefaultParagraphFont"/>
    <w:link w:val="Header"/>
    <w:rsid w:val="005E3211"/>
    <w:rPr>
      <w:rFonts w:ascii="Times New Roman" w:eastAsia="Times New Roman" w:hAnsi="Times New Roman" w:cs="Times New Roman"/>
      <w:szCs w:val="20"/>
      <w:lang w:eastAsia="en-GB"/>
    </w:rPr>
  </w:style>
  <w:style w:type="paragraph" w:customStyle="1" w:styleId="Default">
    <w:name w:val="Default"/>
    <w:rsid w:val="005E3211"/>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NoSpacing">
    <w:name w:val="No Spacing"/>
    <w:uiPriority w:val="1"/>
    <w:qFormat/>
    <w:rsid w:val="005E3211"/>
    <w:pPr>
      <w:spacing w:after="0" w:line="240" w:lineRule="auto"/>
    </w:pPr>
    <w:rPr>
      <w:rFonts w:ascii="Arial" w:eastAsia="Calibri"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1981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Page - UKRI MRC</dc:creator>
  <cp:keywords/>
  <dc:description/>
  <cp:lastModifiedBy>Eden Berrett - UKRI MRC</cp:lastModifiedBy>
  <cp:revision>2</cp:revision>
  <dcterms:created xsi:type="dcterms:W3CDTF">2019-01-08T08:32:00Z</dcterms:created>
  <dcterms:modified xsi:type="dcterms:W3CDTF">2019-01-08T08:32:00Z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A3028697</vt:lpwstr>
  </property>
  <property fmtid="{D5CDD505-2E9C-101B-9397-08002B2CF9AE}" pid="4" name="Objective-Title">
    <vt:lpwstr>06 Annex 2</vt:lpwstr>
  </property>
  <property fmtid="{D5CDD505-2E9C-101B-9397-08002B2CF9AE}" pid="5" name="Objective-created by (external) [system]">
    <vt:lpwstr/>
  </property>
  <property fmtid="{D5CDD505-2E9C-101B-9397-08002B2CF9AE}" pid="6" name="Objective-date of issue [system]">
    <vt:lpwstr/>
  </property>
</Properties>
</file>