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0DC9B" w14:textId="77777777" w:rsidR="008E7EE5" w:rsidRDefault="008E7EE5" w:rsidP="00085980">
      <w:pPr>
        <w:jc w:val="center"/>
        <w:rPr>
          <w:rFonts w:cstheme="minorHAnsi"/>
          <w:b/>
          <w:color w:val="000000" w:themeColor="text1"/>
          <w:sz w:val="24"/>
        </w:rPr>
      </w:pPr>
      <w:r>
        <w:rPr>
          <w:rFonts w:cstheme="minorHAnsi"/>
          <w:b/>
          <w:noProof/>
          <w:color w:val="000000" w:themeColor="text1"/>
          <w:sz w:val="28"/>
          <w:szCs w:val="24"/>
          <w:lang w:eastAsia="en-GB"/>
        </w:rPr>
        <w:drawing>
          <wp:inline distT="0" distB="0" distL="0" distR="0" wp14:anchorId="422F959A" wp14:editId="368AFE73">
            <wp:extent cx="1164566" cy="31430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KR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574" cy="33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BDD74" w14:textId="77777777" w:rsidR="00085980" w:rsidRPr="00322D59" w:rsidRDefault="004545A3" w:rsidP="00085980">
      <w:pPr>
        <w:jc w:val="center"/>
        <w:rPr>
          <w:rFonts w:cstheme="minorHAnsi"/>
          <w:b/>
          <w:color w:val="000000" w:themeColor="text1"/>
          <w:sz w:val="24"/>
        </w:rPr>
      </w:pPr>
      <w:r>
        <w:rPr>
          <w:rFonts w:cstheme="minorHAnsi"/>
          <w:b/>
          <w:color w:val="000000" w:themeColor="text1"/>
          <w:sz w:val="24"/>
        </w:rPr>
        <w:t xml:space="preserve">EPSRC - </w:t>
      </w:r>
      <w:r w:rsidR="00085980" w:rsidRPr="00322D59">
        <w:rPr>
          <w:rFonts w:cstheme="minorHAnsi"/>
          <w:b/>
          <w:color w:val="000000" w:themeColor="text1"/>
          <w:sz w:val="24"/>
        </w:rPr>
        <w:t>Equality Impact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8"/>
        <w:gridCol w:w="4888"/>
      </w:tblGrid>
      <w:tr w:rsidR="00085980" w:rsidRPr="00322D59" w14:paraId="65B3DE76" w14:textId="77777777" w:rsidTr="0012321A">
        <w:tc>
          <w:tcPr>
            <w:tcW w:w="4219" w:type="dxa"/>
            <w:shd w:val="clear" w:color="auto" w:fill="C6D9F1" w:themeFill="text2" w:themeFillTint="33"/>
          </w:tcPr>
          <w:p w14:paraId="1A1B9F5B" w14:textId="77777777" w:rsidR="00085980" w:rsidRPr="00322D59" w:rsidRDefault="00085980" w:rsidP="00B653E7">
            <w:pPr>
              <w:pStyle w:val="ListParagraph"/>
              <w:ind w:left="36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22D59">
              <w:rPr>
                <w:rFonts w:asciiTheme="minorHAnsi" w:hAnsiTheme="minorHAnsi" w:cstheme="minorHAnsi"/>
                <w:b/>
                <w:color w:val="000000" w:themeColor="text1"/>
              </w:rPr>
              <w:t>Question</w:t>
            </w:r>
          </w:p>
        </w:tc>
        <w:tc>
          <w:tcPr>
            <w:tcW w:w="5023" w:type="dxa"/>
            <w:shd w:val="clear" w:color="auto" w:fill="C6D9F1" w:themeFill="text2" w:themeFillTint="33"/>
          </w:tcPr>
          <w:p w14:paraId="30BD3556" w14:textId="77777777" w:rsidR="00085980" w:rsidRPr="00322D59" w:rsidRDefault="00085980" w:rsidP="00B653E7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Response</w:t>
            </w:r>
          </w:p>
        </w:tc>
      </w:tr>
      <w:tr w:rsidR="00085980" w:rsidRPr="00322D59" w14:paraId="6B7E2B20" w14:textId="77777777" w:rsidTr="0012321A">
        <w:trPr>
          <w:trHeight w:val="768"/>
        </w:trPr>
        <w:tc>
          <w:tcPr>
            <w:tcW w:w="4219" w:type="dxa"/>
            <w:shd w:val="clear" w:color="auto" w:fill="C6D9F1" w:themeFill="text2" w:themeFillTint="33"/>
          </w:tcPr>
          <w:p w14:paraId="406A33E0" w14:textId="77777777" w:rsidR="00085980" w:rsidRPr="00322D59" w:rsidRDefault="0086287D" w:rsidP="00B653E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Name of p</w:t>
            </w:r>
            <w:r w:rsidR="00085980" w:rsidRPr="00322D59">
              <w:rPr>
                <w:rFonts w:asciiTheme="minorHAnsi" w:hAnsiTheme="minorHAnsi" w:cstheme="minorHAnsi"/>
                <w:b/>
                <w:color w:val="000000" w:themeColor="text1"/>
              </w:rPr>
              <w:t>olicy/</w:t>
            </w:r>
            <w:r w:rsidR="00085980">
              <w:rPr>
                <w:rFonts w:asciiTheme="minorHAnsi" w:hAnsiTheme="minorHAnsi" w:cstheme="minorHAnsi"/>
                <w:b/>
                <w:color w:val="000000" w:themeColor="text1"/>
              </w:rPr>
              <w:t xml:space="preserve">funding </w:t>
            </w:r>
            <w:r w:rsidR="00085980" w:rsidRPr="00322D59">
              <w:rPr>
                <w:rFonts w:asciiTheme="minorHAnsi" w:hAnsiTheme="minorHAnsi" w:cstheme="minorHAnsi"/>
                <w:b/>
                <w:color w:val="000000" w:themeColor="text1"/>
              </w:rPr>
              <w:t>activity</w:t>
            </w:r>
            <w:r w:rsidR="00085980">
              <w:rPr>
                <w:rFonts w:asciiTheme="minorHAnsi" w:hAnsiTheme="minorHAnsi" w:cstheme="minorHAnsi"/>
                <w:b/>
                <w:color w:val="000000" w:themeColor="text1"/>
              </w:rPr>
              <w:t>/event</w:t>
            </w:r>
            <w:r w:rsidR="00085980" w:rsidRPr="00322D59">
              <w:rPr>
                <w:rFonts w:asciiTheme="minorHAnsi" w:hAnsiTheme="minorHAnsi" w:cstheme="minorHAnsi"/>
                <w:b/>
                <w:color w:val="000000" w:themeColor="text1"/>
              </w:rPr>
              <w:t xml:space="preserve"> being assessed</w:t>
            </w:r>
          </w:p>
          <w:p w14:paraId="4554FE81" w14:textId="77777777" w:rsidR="00085980" w:rsidRPr="00322D59" w:rsidRDefault="00085980" w:rsidP="00B653E7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5023" w:type="dxa"/>
          </w:tcPr>
          <w:p w14:paraId="68B46471" w14:textId="22C36DC2" w:rsidR="00085980" w:rsidRPr="004545A3" w:rsidRDefault="00F93D71" w:rsidP="00B653E7">
            <w:pPr>
              <w:rPr>
                <w:rFonts w:cstheme="minorHAnsi"/>
              </w:rPr>
            </w:pPr>
            <w:r>
              <w:rPr>
                <w:rFonts w:cstheme="minorHAnsi"/>
              </w:rPr>
              <w:t>Siemens/EPSRC Call for Feasibility Studies</w:t>
            </w:r>
            <w:r w:rsidR="007B69F4">
              <w:rPr>
                <w:rFonts w:cstheme="minorHAnsi"/>
              </w:rPr>
              <w:t>: Digital Solutions for Energy Demand Reduction and Carbon Production</w:t>
            </w:r>
          </w:p>
        </w:tc>
      </w:tr>
      <w:tr w:rsidR="00085980" w:rsidRPr="00322D59" w14:paraId="79C978F2" w14:textId="77777777" w:rsidTr="0012321A">
        <w:tc>
          <w:tcPr>
            <w:tcW w:w="4219" w:type="dxa"/>
            <w:shd w:val="clear" w:color="auto" w:fill="C6D9F1" w:themeFill="text2" w:themeFillTint="33"/>
          </w:tcPr>
          <w:p w14:paraId="62494FED" w14:textId="77777777" w:rsidR="00085980" w:rsidRPr="00322D59" w:rsidRDefault="00085980" w:rsidP="00B653E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22D59">
              <w:rPr>
                <w:rFonts w:asciiTheme="minorHAnsi" w:hAnsiTheme="minorHAnsi" w:cstheme="minorHAnsi"/>
                <w:b/>
                <w:color w:val="000000" w:themeColor="text1"/>
              </w:rPr>
              <w:t>Summary of aims and objectives of the policy/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funding </w:t>
            </w:r>
            <w:r w:rsidRPr="00322D59">
              <w:rPr>
                <w:rFonts w:asciiTheme="minorHAnsi" w:hAnsiTheme="minorHAnsi" w:cstheme="minorHAnsi"/>
                <w:b/>
                <w:color w:val="000000" w:themeColor="text1"/>
              </w:rPr>
              <w:t>activity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/event</w:t>
            </w:r>
          </w:p>
          <w:p w14:paraId="318C271E" w14:textId="77777777" w:rsidR="00085980" w:rsidRPr="00322D59" w:rsidRDefault="00085980" w:rsidP="00B653E7">
            <w:pPr>
              <w:pStyle w:val="ListParagraph"/>
              <w:ind w:left="36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023" w:type="dxa"/>
          </w:tcPr>
          <w:p w14:paraId="68C57294" w14:textId="77777777" w:rsidR="00085980" w:rsidRPr="004545A3" w:rsidRDefault="00085980" w:rsidP="00B653E7">
            <w:pPr>
              <w:rPr>
                <w:rFonts w:cstheme="minorHAnsi"/>
              </w:rPr>
            </w:pPr>
          </w:p>
        </w:tc>
      </w:tr>
      <w:tr w:rsidR="00085980" w:rsidRPr="00322D59" w14:paraId="2CF1DD67" w14:textId="77777777" w:rsidTr="0012321A">
        <w:tc>
          <w:tcPr>
            <w:tcW w:w="4219" w:type="dxa"/>
            <w:shd w:val="clear" w:color="auto" w:fill="C6D9F1" w:themeFill="text2" w:themeFillTint="33"/>
          </w:tcPr>
          <w:p w14:paraId="4131CC4F" w14:textId="77777777" w:rsidR="00085980" w:rsidRPr="00322D59" w:rsidRDefault="00085980" w:rsidP="00B653E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22D59">
              <w:rPr>
                <w:rFonts w:asciiTheme="minorHAnsi" w:hAnsiTheme="minorHAnsi" w:cstheme="minorHAnsi"/>
                <w:b/>
                <w:color w:val="000000" w:themeColor="text1"/>
              </w:rPr>
              <w:t xml:space="preserve">What involvement and consultation has been done in relation to this policy? </w:t>
            </w:r>
            <w:r w:rsidRPr="00322D59">
              <w:rPr>
                <w:rFonts w:asciiTheme="minorHAnsi" w:hAnsiTheme="minorHAnsi" w:cstheme="minorHAnsi"/>
                <w:i/>
                <w:color w:val="000000" w:themeColor="text1"/>
              </w:rPr>
              <w:t>(</w:t>
            </w:r>
            <w:proofErr w:type="gramStart"/>
            <w:r w:rsidRPr="00322D59">
              <w:rPr>
                <w:rFonts w:asciiTheme="minorHAnsi" w:hAnsiTheme="minorHAnsi" w:cstheme="minorHAnsi"/>
                <w:i/>
                <w:color w:val="000000" w:themeColor="text1"/>
              </w:rPr>
              <w:t>e.g.</w:t>
            </w:r>
            <w:proofErr w:type="gramEnd"/>
            <w:r w:rsidRPr="00322D59">
              <w:rPr>
                <w:rFonts w:asciiTheme="minorHAnsi" w:hAnsiTheme="minorHAnsi" w:cstheme="minorHAnsi"/>
                <w:i/>
                <w:color w:val="000000" w:themeColor="text1"/>
              </w:rPr>
              <w:t xml:space="preserve"> with relevant 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groups and </w:t>
            </w:r>
            <w:r w:rsidRPr="00322D59">
              <w:rPr>
                <w:rFonts w:asciiTheme="minorHAnsi" w:hAnsiTheme="minorHAnsi" w:cstheme="minorHAnsi"/>
                <w:i/>
                <w:color w:val="000000" w:themeColor="text1"/>
              </w:rPr>
              <w:t>stakeholders)</w:t>
            </w:r>
          </w:p>
          <w:p w14:paraId="2E77B7DC" w14:textId="77777777" w:rsidR="00085980" w:rsidRPr="004326A0" w:rsidRDefault="00085980" w:rsidP="00B653E7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5023" w:type="dxa"/>
          </w:tcPr>
          <w:p w14:paraId="41D53F80" w14:textId="5D315D54" w:rsidR="00085980" w:rsidRPr="004545A3" w:rsidRDefault="00F93D71" w:rsidP="00B653E7">
            <w:pPr>
              <w:rPr>
                <w:rFonts w:cstheme="minorHAnsi"/>
              </w:rPr>
            </w:pPr>
            <w:r>
              <w:rPr>
                <w:rFonts w:cstheme="minorHAnsi"/>
              </w:rPr>
              <w:t>The call for studies has been developed through discussion with Siemens.</w:t>
            </w:r>
          </w:p>
        </w:tc>
      </w:tr>
      <w:tr w:rsidR="00085980" w:rsidRPr="00322D59" w14:paraId="1508F718" w14:textId="77777777" w:rsidTr="0012321A">
        <w:tc>
          <w:tcPr>
            <w:tcW w:w="4219" w:type="dxa"/>
            <w:shd w:val="clear" w:color="auto" w:fill="C6D9F1" w:themeFill="text2" w:themeFillTint="33"/>
          </w:tcPr>
          <w:p w14:paraId="55C79255" w14:textId="77777777" w:rsidR="00085980" w:rsidRPr="00322D59" w:rsidRDefault="00085980" w:rsidP="00B653E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22D59">
              <w:rPr>
                <w:rFonts w:asciiTheme="minorHAnsi" w:hAnsiTheme="minorHAnsi" w:cstheme="minorHAnsi"/>
                <w:b/>
                <w:color w:val="000000" w:themeColor="text1"/>
              </w:rPr>
              <w:t xml:space="preserve">Who is affected by the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p</w:t>
            </w:r>
            <w:r w:rsidRPr="00322D59">
              <w:rPr>
                <w:rFonts w:asciiTheme="minorHAnsi" w:hAnsiTheme="minorHAnsi" w:cstheme="minorHAnsi"/>
                <w:b/>
                <w:color w:val="000000" w:themeColor="text1"/>
              </w:rPr>
              <w:t>olicy/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funding </w:t>
            </w:r>
            <w:r w:rsidRPr="00322D59">
              <w:rPr>
                <w:rFonts w:asciiTheme="minorHAnsi" w:hAnsiTheme="minorHAnsi" w:cstheme="minorHAnsi"/>
                <w:b/>
                <w:color w:val="000000" w:themeColor="text1"/>
              </w:rPr>
              <w:t>activity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/event</w:t>
            </w:r>
            <w:r w:rsidRPr="00322D59">
              <w:rPr>
                <w:rFonts w:asciiTheme="minorHAnsi" w:hAnsiTheme="minorHAnsi" w:cstheme="minorHAnsi"/>
                <w:b/>
                <w:color w:val="000000" w:themeColor="text1"/>
              </w:rPr>
              <w:t>?</w:t>
            </w:r>
          </w:p>
          <w:p w14:paraId="64459F84" w14:textId="77777777" w:rsidR="00085980" w:rsidRPr="00322D59" w:rsidRDefault="00085980" w:rsidP="00B653E7">
            <w:pPr>
              <w:pStyle w:val="ListParagraph"/>
              <w:ind w:left="36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023" w:type="dxa"/>
          </w:tcPr>
          <w:p w14:paraId="5E058695" w14:textId="012E5B69" w:rsidR="00085980" w:rsidRPr="004545A3" w:rsidRDefault="00F93D71" w:rsidP="00085980">
            <w:pPr>
              <w:rPr>
                <w:rFonts w:cstheme="minorHAnsi"/>
              </w:rPr>
            </w:pPr>
            <w:r>
              <w:rPr>
                <w:rFonts w:cstheme="minorHAnsi"/>
              </w:rPr>
              <w:t>EPSRC Energy and Decarbonisation research community.</w:t>
            </w:r>
          </w:p>
        </w:tc>
      </w:tr>
      <w:tr w:rsidR="00085980" w:rsidRPr="00322D59" w14:paraId="4284B0D8" w14:textId="77777777" w:rsidTr="0012321A">
        <w:tc>
          <w:tcPr>
            <w:tcW w:w="4219" w:type="dxa"/>
            <w:shd w:val="clear" w:color="auto" w:fill="C6D9F1" w:themeFill="text2" w:themeFillTint="33"/>
          </w:tcPr>
          <w:p w14:paraId="13FC1BF4" w14:textId="77777777" w:rsidR="00085980" w:rsidRPr="00322D59" w:rsidRDefault="0086287D" w:rsidP="0086287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What are the a</w:t>
            </w:r>
            <w:r w:rsidR="00085980" w:rsidRPr="00322D59">
              <w:rPr>
                <w:rFonts w:asciiTheme="minorHAnsi" w:hAnsiTheme="minorHAnsi" w:cstheme="minorHAnsi"/>
                <w:b/>
                <w:color w:val="000000" w:themeColor="text1"/>
              </w:rPr>
              <w:t>rrangements for monitoring and reviewing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the</w:t>
            </w:r>
            <w:r w:rsidR="00085980" w:rsidRPr="00322D59">
              <w:rPr>
                <w:rFonts w:asciiTheme="minorHAnsi" w:hAnsiTheme="minorHAnsi" w:cstheme="minorHAnsi"/>
                <w:b/>
                <w:color w:val="000000" w:themeColor="text1"/>
              </w:rPr>
              <w:t xml:space="preserve"> actual impact of the </w:t>
            </w:r>
            <w:r w:rsidR="00085980">
              <w:rPr>
                <w:rFonts w:asciiTheme="minorHAnsi" w:hAnsiTheme="minorHAnsi" w:cstheme="minorHAnsi"/>
                <w:b/>
                <w:color w:val="000000" w:themeColor="text1"/>
              </w:rPr>
              <w:t>p</w:t>
            </w:r>
            <w:r w:rsidR="00085980" w:rsidRPr="00322D59">
              <w:rPr>
                <w:rFonts w:asciiTheme="minorHAnsi" w:hAnsiTheme="minorHAnsi" w:cstheme="minorHAnsi"/>
                <w:b/>
                <w:color w:val="000000" w:themeColor="text1"/>
              </w:rPr>
              <w:t>olicy/</w:t>
            </w:r>
            <w:r w:rsidR="00085980">
              <w:rPr>
                <w:rFonts w:asciiTheme="minorHAnsi" w:hAnsiTheme="minorHAnsi" w:cstheme="minorHAnsi"/>
                <w:b/>
                <w:color w:val="000000" w:themeColor="text1"/>
              </w:rPr>
              <w:t xml:space="preserve">funding </w:t>
            </w:r>
            <w:r w:rsidR="00085980" w:rsidRPr="00322D59">
              <w:rPr>
                <w:rFonts w:asciiTheme="minorHAnsi" w:hAnsiTheme="minorHAnsi" w:cstheme="minorHAnsi"/>
                <w:b/>
                <w:color w:val="000000" w:themeColor="text1"/>
              </w:rPr>
              <w:t>activity</w:t>
            </w:r>
            <w:r w:rsidR="00085980">
              <w:rPr>
                <w:rFonts w:asciiTheme="minorHAnsi" w:hAnsiTheme="minorHAnsi" w:cstheme="minorHAnsi"/>
                <w:b/>
                <w:color w:val="000000" w:themeColor="text1"/>
              </w:rPr>
              <w:t>/event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?</w:t>
            </w:r>
          </w:p>
        </w:tc>
        <w:tc>
          <w:tcPr>
            <w:tcW w:w="5023" w:type="dxa"/>
          </w:tcPr>
          <w:p w14:paraId="28653B63" w14:textId="77777777" w:rsidR="00F93D71" w:rsidRPr="003F0F8B" w:rsidRDefault="00F93D71" w:rsidP="00F93D71">
            <w:pPr>
              <w:rPr>
                <w:rFonts w:cstheme="minorHAnsi"/>
              </w:rPr>
            </w:pPr>
            <w:r w:rsidRPr="003F0F8B">
              <w:rPr>
                <w:rFonts w:cstheme="minorHAnsi"/>
              </w:rPr>
              <w:t>The assessment process has been designed to</w:t>
            </w:r>
          </w:p>
          <w:p w14:paraId="4EA40E9E" w14:textId="77F3F828" w:rsidR="00F93D71" w:rsidRPr="003F0F8B" w:rsidRDefault="00F93D71" w:rsidP="00F93D71">
            <w:pPr>
              <w:rPr>
                <w:rFonts w:cstheme="minorHAnsi"/>
              </w:rPr>
            </w:pPr>
            <w:r w:rsidRPr="003F0F8B">
              <w:rPr>
                <w:rFonts w:cstheme="minorHAnsi"/>
              </w:rPr>
              <w:t xml:space="preserve">ensure </w:t>
            </w:r>
            <w:r>
              <w:rPr>
                <w:rFonts w:cstheme="minorHAnsi"/>
              </w:rPr>
              <w:t>compliance with UKRI’s principles for peer review</w:t>
            </w:r>
            <w:r w:rsidRPr="003F0F8B">
              <w:rPr>
                <w:rFonts w:cstheme="minorHAnsi"/>
              </w:rPr>
              <w:t>.</w:t>
            </w:r>
          </w:p>
          <w:p w14:paraId="06D1B272" w14:textId="77777777" w:rsidR="00F93D71" w:rsidRPr="003F0F8B" w:rsidRDefault="00F93D71" w:rsidP="00F93D71">
            <w:pPr>
              <w:rPr>
                <w:rFonts w:cstheme="minorHAnsi"/>
              </w:rPr>
            </w:pPr>
            <w:r w:rsidRPr="003F0F8B">
              <w:rPr>
                <w:rFonts w:cstheme="minorHAnsi"/>
              </w:rPr>
              <w:t>Research outcomes are collected through</w:t>
            </w:r>
          </w:p>
          <w:p w14:paraId="35B77A3C" w14:textId="77777777" w:rsidR="00F93D71" w:rsidRPr="003F0F8B" w:rsidRDefault="00F93D71" w:rsidP="00F93D71">
            <w:pPr>
              <w:rPr>
                <w:rFonts w:cstheme="minorHAnsi"/>
              </w:rPr>
            </w:pPr>
            <w:r w:rsidRPr="003F0F8B">
              <w:rPr>
                <w:rFonts w:cstheme="minorHAnsi"/>
              </w:rPr>
              <w:t>Researchfish, and standard mode will be monitored</w:t>
            </w:r>
          </w:p>
          <w:p w14:paraId="49C91703" w14:textId="5AD919D3" w:rsidR="00085980" w:rsidRPr="004545A3" w:rsidRDefault="00F93D71" w:rsidP="00F93D71">
            <w:pPr>
              <w:rPr>
                <w:rFonts w:cstheme="minorHAnsi"/>
              </w:rPr>
            </w:pPr>
            <w:r w:rsidRPr="003F0F8B">
              <w:rPr>
                <w:rFonts w:cstheme="minorHAnsi"/>
              </w:rPr>
              <w:t>for subsequent submissions.</w:t>
            </w:r>
          </w:p>
        </w:tc>
      </w:tr>
    </w:tbl>
    <w:p w14:paraId="778137BD" w14:textId="77777777" w:rsidR="00085980" w:rsidRDefault="00085980" w:rsidP="00085980">
      <w:pPr>
        <w:spacing w:after="0"/>
        <w:rPr>
          <w:rFonts w:cstheme="minorHAnsi"/>
          <w:b/>
          <w:color w:val="000000" w:themeColor="text1"/>
        </w:rPr>
      </w:pPr>
    </w:p>
    <w:p w14:paraId="334455BB" w14:textId="77777777" w:rsidR="008E7EE5" w:rsidRPr="00A0363A" w:rsidRDefault="008E7EE5" w:rsidP="008E7EE5">
      <w:pPr>
        <w:pStyle w:val="Default"/>
        <w:rPr>
          <w:rFonts w:asciiTheme="minorHAnsi" w:eastAsia="Dotum" w:hAnsiTheme="minorHAnsi" w:cstheme="minorHAnsi"/>
          <w:color w:val="333333"/>
          <w:sz w:val="22"/>
          <w:szCs w:val="20"/>
          <w:lang w:val="en"/>
        </w:rPr>
      </w:pPr>
      <w:r w:rsidRPr="00A0363A">
        <w:rPr>
          <w:rFonts w:asciiTheme="minorHAnsi" w:eastAsia="Dotum" w:hAnsiTheme="minorHAnsi" w:cstheme="minorHAnsi"/>
          <w:color w:val="333333"/>
          <w:sz w:val="22"/>
          <w:szCs w:val="20"/>
          <w:lang w:val="en"/>
        </w:rPr>
        <w:t xml:space="preserve">As a funder of research, EPSRC remain committed to attracting the best potential researchers from a diverse population into research careers. The Research Councils have together developed the ambitious </w:t>
      </w:r>
      <w:hyperlink r:id="rId12" w:history="1">
        <w:r w:rsidRPr="00A0363A">
          <w:rPr>
            <w:rStyle w:val="Hyperlink"/>
            <w:rFonts w:asciiTheme="minorHAnsi" w:eastAsia="Dotum" w:hAnsiTheme="minorHAnsi" w:cstheme="minorHAnsi"/>
            <w:sz w:val="22"/>
            <w:szCs w:val="20"/>
            <w:lang w:val="en"/>
          </w:rPr>
          <w:t>RCUK Equality, Diversity and Inclusion Action Plan</w:t>
        </w:r>
      </w:hyperlink>
      <w:r w:rsidRPr="00A0363A">
        <w:rPr>
          <w:rFonts w:asciiTheme="minorHAnsi" w:eastAsia="Dotum" w:hAnsiTheme="minorHAnsi" w:cstheme="minorHAnsi"/>
          <w:color w:val="333333"/>
          <w:sz w:val="22"/>
          <w:szCs w:val="20"/>
          <w:lang w:val="en"/>
        </w:rPr>
        <w:t xml:space="preserve"> to outline our collective aspirations for working with the research community, and partners throughout the sector. For policy changes, funding activities and events EPSRC will aim to:</w:t>
      </w:r>
    </w:p>
    <w:p w14:paraId="5F99BB60" w14:textId="77777777" w:rsidR="008E7EE5" w:rsidRPr="00A0363A" w:rsidRDefault="008E7EE5" w:rsidP="008E7EE5">
      <w:pPr>
        <w:pStyle w:val="Default"/>
        <w:numPr>
          <w:ilvl w:val="0"/>
          <w:numId w:val="22"/>
        </w:numPr>
        <w:rPr>
          <w:rFonts w:asciiTheme="minorHAnsi" w:eastAsia="Dotum" w:hAnsiTheme="minorHAnsi" w:cstheme="minorHAnsi"/>
          <w:color w:val="000000" w:themeColor="text1"/>
          <w:sz w:val="22"/>
          <w:szCs w:val="20"/>
        </w:rPr>
      </w:pPr>
      <w:r w:rsidRPr="00A0363A">
        <w:rPr>
          <w:rFonts w:asciiTheme="minorHAnsi" w:eastAsia="Dotum" w:hAnsiTheme="minorHAnsi" w:cstheme="minorHAnsi"/>
          <w:color w:val="000000" w:themeColor="text1"/>
          <w:sz w:val="22"/>
          <w:szCs w:val="20"/>
        </w:rPr>
        <w:t xml:space="preserve">Select venues that are accessible and where possible accommodate any specific requirement in our planning and organisation of an initiative to support wider participation. </w:t>
      </w:r>
    </w:p>
    <w:p w14:paraId="27B646EA" w14:textId="77777777" w:rsidR="008E7EE5" w:rsidRPr="00A0363A" w:rsidRDefault="008E7EE5" w:rsidP="008E7EE5">
      <w:pPr>
        <w:pStyle w:val="Default"/>
        <w:numPr>
          <w:ilvl w:val="0"/>
          <w:numId w:val="22"/>
        </w:numPr>
        <w:rPr>
          <w:rFonts w:asciiTheme="minorHAnsi" w:eastAsia="Dotum" w:hAnsiTheme="minorHAnsi" w:cstheme="minorHAnsi"/>
          <w:color w:val="000000" w:themeColor="text1"/>
          <w:sz w:val="22"/>
          <w:szCs w:val="20"/>
        </w:rPr>
      </w:pPr>
      <w:r w:rsidRPr="00A0363A">
        <w:rPr>
          <w:rFonts w:asciiTheme="minorHAnsi" w:eastAsia="Dotum" w:hAnsiTheme="minorHAnsi" w:cstheme="minorHAnsi"/>
          <w:color w:val="000000" w:themeColor="text1"/>
          <w:sz w:val="22"/>
          <w:szCs w:val="20"/>
        </w:rPr>
        <w:t xml:space="preserve">Offer support available for people with caring responsibilities, further details are available </w:t>
      </w:r>
      <w:hyperlink r:id="rId13" w:history="1">
        <w:r w:rsidRPr="00A0363A">
          <w:rPr>
            <w:rStyle w:val="Hyperlink"/>
            <w:rFonts w:asciiTheme="minorHAnsi" w:eastAsia="Dotum" w:hAnsiTheme="minorHAnsi" w:cstheme="minorHAnsi"/>
            <w:sz w:val="22"/>
            <w:szCs w:val="20"/>
          </w:rPr>
          <w:t>here</w:t>
        </w:r>
      </w:hyperlink>
      <w:r w:rsidRPr="00A0363A">
        <w:rPr>
          <w:rFonts w:asciiTheme="minorHAnsi" w:eastAsia="Dotum" w:hAnsiTheme="minorHAnsi" w:cstheme="minorHAnsi"/>
          <w:color w:val="000000" w:themeColor="text1"/>
          <w:sz w:val="22"/>
          <w:szCs w:val="20"/>
        </w:rPr>
        <w:t xml:space="preserve"> </w:t>
      </w:r>
    </w:p>
    <w:p w14:paraId="16CB4E36" w14:textId="77777777" w:rsidR="008E7EE5" w:rsidRPr="00A0363A" w:rsidRDefault="008E7EE5" w:rsidP="008E7EE5">
      <w:pPr>
        <w:pStyle w:val="Default"/>
        <w:numPr>
          <w:ilvl w:val="0"/>
          <w:numId w:val="22"/>
        </w:numPr>
        <w:rPr>
          <w:rFonts w:asciiTheme="minorHAnsi" w:eastAsia="Dotum" w:hAnsiTheme="minorHAnsi" w:cstheme="minorHAnsi"/>
          <w:color w:val="000000" w:themeColor="text1"/>
          <w:sz w:val="22"/>
          <w:szCs w:val="20"/>
        </w:rPr>
      </w:pPr>
      <w:r w:rsidRPr="00A0363A">
        <w:rPr>
          <w:rFonts w:asciiTheme="minorHAnsi" w:eastAsia="Dotum" w:hAnsiTheme="minorHAnsi" w:cstheme="minorHAnsi"/>
          <w:color w:val="000000" w:themeColor="text1"/>
          <w:sz w:val="22"/>
          <w:szCs w:val="20"/>
        </w:rPr>
        <w:t xml:space="preserve">Clearly communicate the timeline and key milestones for funding activities </w:t>
      </w:r>
    </w:p>
    <w:p w14:paraId="108420DF" w14:textId="77777777" w:rsidR="008E7EE5" w:rsidRPr="004545A3" w:rsidRDefault="008E7EE5" w:rsidP="004545A3">
      <w:pPr>
        <w:pStyle w:val="Default"/>
        <w:numPr>
          <w:ilvl w:val="0"/>
          <w:numId w:val="22"/>
        </w:numPr>
        <w:rPr>
          <w:rFonts w:asciiTheme="minorHAnsi" w:eastAsia="Dotum" w:hAnsiTheme="minorHAnsi" w:cstheme="minorHAnsi"/>
          <w:color w:val="000000" w:themeColor="text1"/>
          <w:sz w:val="22"/>
          <w:szCs w:val="20"/>
        </w:rPr>
      </w:pPr>
      <w:r w:rsidRPr="00A0363A">
        <w:rPr>
          <w:rFonts w:asciiTheme="minorHAnsi" w:eastAsia="Dotum" w:hAnsiTheme="minorHAnsi" w:cstheme="minorHAnsi"/>
          <w:color w:val="000000" w:themeColor="text1"/>
          <w:sz w:val="22"/>
          <w:szCs w:val="20"/>
        </w:rPr>
        <w:t>Ensure attendees have an opportunity to raise any specific requirements in advance</w:t>
      </w:r>
      <w:r w:rsidR="004545A3">
        <w:rPr>
          <w:rFonts w:asciiTheme="minorHAnsi" w:eastAsia="Dotum" w:hAnsiTheme="minorHAnsi" w:cstheme="minorHAnsi"/>
          <w:color w:val="000000" w:themeColor="text1"/>
          <w:sz w:val="22"/>
          <w:szCs w:val="20"/>
        </w:rPr>
        <w:t xml:space="preserve"> </w:t>
      </w:r>
      <w:proofErr w:type="gramStart"/>
      <w:r w:rsidR="004545A3">
        <w:rPr>
          <w:rFonts w:asciiTheme="minorHAnsi" w:eastAsia="Dotum" w:hAnsiTheme="minorHAnsi" w:cstheme="minorHAnsi"/>
          <w:color w:val="000000" w:themeColor="text1"/>
          <w:sz w:val="22"/>
          <w:szCs w:val="20"/>
        </w:rPr>
        <w:t>e.g.</w:t>
      </w:r>
      <w:proofErr w:type="gramEnd"/>
      <w:r w:rsidR="004545A3">
        <w:rPr>
          <w:rFonts w:asciiTheme="minorHAnsi" w:eastAsia="Dotum" w:hAnsiTheme="minorHAnsi" w:cstheme="minorHAnsi"/>
          <w:color w:val="000000" w:themeColor="text1"/>
          <w:sz w:val="22"/>
          <w:szCs w:val="20"/>
        </w:rPr>
        <w:t xml:space="preserve"> cover letter and joining instructions</w:t>
      </w:r>
    </w:p>
    <w:p w14:paraId="37EDC7C8" w14:textId="77777777" w:rsidR="008E7EE5" w:rsidRPr="00A0363A" w:rsidRDefault="008E7EE5" w:rsidP="008E7EE5">
      <w:pPr>
        <w:pStyle w:val="Default"/>
        <w:numPr>
          <w:ilvl w:val="0"/>
          <w:numId w:val="22"/>
        </w:numPr>
        <w:rPr>
          <w:rFonts w:asciiTheme="minorHAnsi" w:eastAsia="Dotum" w:hAnsiTheme="minorHAnsi" w:cstheme="minorHAnsi"/>
          <w:color w:val="000000" w:themeColor="text1"/>
          <w:sz w:val="22"/>
          <w:szCs w:val="20"/>
        </w:rPr>
      </w:pPr>
      <w:r w:rsidRPr="00A0363A">
        <w:rPr>
          <w:rFonts w:asciiTheme="minorHAnsi" w:eastAsia="Dotum" w:hAnsiTheme="minorHAnsi" w:cstheme="minorHAnsi"/>
          <w:color w:val="000000" w:themeColor="text1"/>
          <w:sz w:val="22"/>
          <w:szCs w:val="20"/>
        </w:rPr>
        <w:t>Support for flexible working of stakeholders</w:t>
      </w:r>
    </w:p>
    <w:p w14:paraId="3816030C" w14:textId="77777777" w:rsidR="008E7EE5" w:rsidRPr="00A0363A" w:rsidRDefault="008E7EE5" w:rsidP="008E7EE5">
      <w:pPr>
        <w:pStyle w:val="Default"/>
        <w:numPr>
          <w:ilvl w:val="0"/>
          <w:numId w:val="22"/>
        </w:numPr>
        <w:rPr>
          <w:rFonts w:asciiTheme="minorHAnsi" w:eastAsia="Dotum" w:hAnsiTheme="minorHAnsi" w:cstheme="minorHAnsi"/>
          <w:color w:val="000000" w:themeColor="text1"/>
          <w:sz w:val="22"/>
          <w:szCs w:val="20"/>
        </w:rPr>
      </w:pPr>
      <w:r w:rsidRPr="00A0363A">
        <w:rPr>
          <w:rFonts w:asciiTheme="minorHAnsi" w:eastAsia="Dotum" w:hAnsiTheme="minorHAnsi" w:cstheme="minorHAnsi"/>
          <w:color w:val="000000" w:themeColor="text1"/>
          <w:sz w:val="22"/>
          <w:szCs w:val="20"/>
        </w:rPr>
        <w:t>Ensure diversity of peer review assessment and interview panels</w:t>
      </w:r>
    </w:p>
    <w:p w14:paraId="3F7FB076" w14:textId="77777777" w:rsidR="008E7EE5" w:rsidRPr="00A0363A" w:rsidRDefault="008E7EE5" w:rsidP="008E7EE5">
      <w:pPr>
        <w:pStyle w:val="Default"/>
        <w:numPr>
          <w:ilvl w:val="0"/>
          <w:numId w:val="22"/>
        </w:numPr>
        <w:rPr>
          <w:rFonts w:asciiTheme="minorHAnsi" w:eastAsia="Dotum" w:hAnsiTheme="minorHAnsi" w:cstheme="minorHAnsi"/>
          <w:color w:val="000000" w:themeColor="text1"/>
          <w:sz w:val="22"/>
          <w:szCs w:val="20"/>
        </w:rPr>
      </w:pPr>
      <w:r w:rsidRPr="00A0363A">
        <w:rPr>
          <w:rFonts w:asciiTheme="minorHAnsi" w:eastAsia="Dotum" w:hAnsiTheme="minorHAnsi" w:cstheme="minorHAnsi"/>
          <w:color w:val="000000" w:themeColor="text1"/>
          <w:sz w:val="22"/>
          <w:szCs w:val="20"/>
        </w:rPr>
        <w:t>Abide by the Principles of peer review</w:t>
      </w:r>
    </w:p>
    <w:p w14:paraId="20A17530" w14:textId="77777777" w:rsidR="008E7EE5" w:rsidRPr="00A0363A" w:rsidRDefault="008E7EE5" w:rsidP="008E7EE5">
      <w:pPr>
        <w:pStyle w:val="Default"/>
        <w:numPr>
          <w:ilvl w:val="0"/>
          <w:numId w:val="22"/>
        </w:numPr>
        <w:rPr>
          <w:rFonts w:asciiTheme="minorHAnsi" w:eastAsia="Dotum" w:hAnsiTheme="minorHAnsi" w:cstheme="minorHAnsi"/>
          <w:color w:val="000000" w:themeColor="text1"/>
          <w:sz w:val="22"/>
          <w:szCs w:val="20"/>
        </w:rPr>
      </w:pPr>
      <w:r w:rsidRPr="00A0363A">
        <w:rPr>
          <w:rFonts w:asciiTheme="minorHAnsi" w:eastAsia="Dotum" w:hAnsiTheme="minorHAnsi" w:cstheme="minorHAnsi"/>
          <w:color w:val="000000" w:themeColor="text1"/>
          <w:sz w:val="22"/>
          <w:szCs w:val="20"/>
        </w:rPr>
        <w:t>Unconscious Bias training for EPSRC staff and clear guidance for assessors</w:t>
      </w:r>
    </w:p>
    <w:p w14:paraId="6D196F80" w14:textId="77777777" w:rsidR="008E7EE5" w:rsidRDefault="008E7EE5" w:rsidP="008E7EE5">
      <w:pPr>
        <w:pStyle w:val="Default"/>
        <w:numPr>
          <w:ilvl w:val="0"/>
          <w:numId w:val="22"/>
        </w:numPr>
        <w:rPr>
          <w:rFonts w:asciiTheme="minorHAnsi" w:eastAsia="Dotum" w:hAnsiTheme="minorHAnsi" w:cstheme="minorHAnsi"/>
          <w:color w:val="000000" w:themeColor="text1"/>
          <w:sz w:val="22"/>
          <w:szCs w:val="20"/>
        </w:rPr>
      </w:pPr>
      <w:r w:rsidRPr="00A0363A">
        <w:rPr>
          <w:rFonts w:asciiTheme="minorHAnsi" w:eastAsia="Dotum" w:hAnsiTheme="minorHAnsi" w:cstheme="minorHAnsi"/>
          <w:color w:val="000000" w:themeColor="text1"/>
          <w:sz w:val="22"/>
          <w:szCs w:val="20"/>
        </w:rPr>
        <w:t>Handle personal sensitive information in compliance with General Data Protection Regulation 2018</w:t>
      </w:r>
    </w:p>
    <w:p w14:paraId="03D78321" w14:textId="77777777" w:rsidR="008E7EE5" w:rsidRDefault="008E7EE5">
      <w:pPr>
        <w:rPr>
          <w:rFonts w:cstheme="minorHAnsi"/>
          <w:b/>
          <w:color w:val="000000" w:themeColor="text1"/>
        </w:rPr>
      </w:pPr>
    </w:p>
    <w:p w14:paraId="7DCE45C0" w14:textId="77777777" w:rsidR="00CD76C2" w:rsidRDefault="00CD76C2">
      <w:pPr>
        <w:rPr>
          <w:rFonts w:cstheme="minorHAnsi"/>
          <w:b/>
          <w:color w:val="000000" w:themeColor="text1"/>
        </w:rPr>
      </w:pPr>
    </w:p>
    <w:p w14:paraId="6D56E2DD" w14:textId="77777777" w:rsidR="00CD76C2" w:rsidRDefault="00CD76C2">
      <w:pPr>
        <w:rPr>
          <w:rFonts w:cstheme="minorHAnsi"/>
          <w:b/>
          <w:color w:val="000000" w:themeColor="text1"/>
        </w:rPr>
      </w:pPr>
    </w:p>
    <w:p w14:paraId="394A2BE6" w14:textId="77777777" w:rsidR="00CD76C2" w:rsidRDefault="00CD76C2">
      <w:pPr>
        <w:rPr>
          <w:rFonts w:cstheme="minorHAnsi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4"/>
        <w:gridCol w:w="2236"/>
        <w:gridCol w:w="2266"/>
        <w:gridCol w:w="2250"/>
      </w:tblGrid>
      <w:tr w:rsidR="00F93D71" w:rsidRPr="00322D59" w14:paraId="6A95CF98" w14:textId="77777777" w:rsidTr="008E7EE5">
        <w:tc>
          <w:tcPr>
            <w:tcW w:w="2264" w:type="dxa"/>
            <w:shd w:val="clear" w:color="auto" w:fill="C6D9F1" w:themeFill="text2" w:themeFillTint="33"/>
          </w:tcPr>
          <w:p w14:paraId="6D82FAE2" w14:textId="77777777" w:rsidR="00085980" w:rsidRPr="00322D59" w:rsidRDefault="0086287D" w:rsidP="00B653E7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lastRenderedPageBreak/>
              <w:t xml:space="preserve">Protected Characteristic </w:t>
            </w:r>
            <w:r w:rsidR="00085980" w:rsidRPr="00322D59">
              <w:rPr>
                <w:rFonts w:cstheme="minorHAnsi"/>
                <w:b/>
                <w:color w:val="000000" w:themeColor="text1"/>
              </w:rPr>
              <w:t xml:space="preserve">Group </w:t>
            </w:r>
          </w:p>
        </w:tc>
        <w:tc>
          <w:tcPr>
            <w:tcW w:w="2236" w:type="dxa"/>
            <w:shd w:val="clear" w:color="auto" w:fill="C6D9F1" w:themeFill="text2" w:themeFillTint="33"/>
          </w:tcPr>
          <w:p w14:paraId="54DF9242" w14:textId="77777777" w:rsidR="00085980" w:rsidRPr="00322D59" w:rsidRDefault="00085980" w:rsidP="00B653E7">
            <w:pPr>
              <w:rPr>
                <w:rFonts w:cstheme="minorHAnsi"/>
                <w:b/>
                <w:color w:val="000000" w:themeColor="text1"/>
              </w:rPr>
            </w:pPr>
            <w:r w:rsidRPr="00322D59">
              <w:rPr>
                <w:rFonts w:cstheme="minorHAnsi"/>
                <w:b/>
                <w:color w:val="000000" w:themeColor="text1"/>
              </w:rPr>
              <w:t>Is there a potential for positive or negative impact?</w:t>
            </w:r>
          </w:p>
        </w:tc>
        <w:tc>
          <w:tcPr>
            <w:tcW w:w="2266" w:type="dxa"/>
            <w:shd w:val="clear" w:color="auto" w:fill="C6D9F1" w:themeFill="text2" w:themeFillTint="33"/>
          </w:tcPr>
          <w:p w14:paraId="1FFAC605" w14:textId="77777777" w:rsidR="00085980" w:rsidRPr="00322D59" w:rsidRDefault="00085980" w:rsidP="00B653E7">
            <w:pPr>
              <w:rPr>
                <w:rFonts w:cstheme="minorHAnsi"/>
                <w:b/>
                <w:color w:val="000000" w:themeColor="text1"/>
              </w:rPr>
            </w:pPr>
            <w:r w:rsidRPr="00322D59">
              <w:rPr>
                <w:rFonts w:cstheme="minorHAnsi"/>
                <w:b/>
                <w:color w:val="000000" w:themeColor="text1"/>
              </w:rPr>
              <w:t>Please explain and give examples of any evidence/data used</w:t>
            </w:r>
          </w:p>
        </w:tc>
        <w:tc>
          <w:tcPr>
            <w:tcW w:w="2250" w:type="dxa"/>
            <w:shd w:val="clear" w:color="auto" w:fill="C6D9F1" w:themeFill="text2" w:themeFillTint="33"/>
          </w:tcPr>
          <w:p w14:paraId="728B71B3" w14:textId="77777777" w:rsidR="00085980" w:rsidRPr="00322D59" w:rsidRDefault="00085980" w:rsidP="00B653E7">
            <w:pPr>
              <w:rPr>
                <w:rFonts w:cstheme="minorHAnsi"/>
                <w:b/>
                <w:color w:val="000000" w:themeColor="text1"/>
              </w:rPr>
            </w:pPr>
            <w:r w:rsidRPr="00322D59">
              <w:rPr>
                <w:rFonts w:cstheme="minorHAnsi"/>
                <w:b/>
                <w:color w:val="000000" w:themeColor="text1"/>
              </w:rPr>
              <w:t>Action to address negat</w:t>
            </w:r>
            <w:r>
              <w:rPr>
                <w:rFonts w:cstheme="minorHAnsi"/>
                <w:b/>
                <w:color w:val="000000" w:themeColor="text1"/>
              </w:rPr>
              <w:t>ive impact (</w:t>
            </w:r>
            <w:proofErr w:type="gramStart"/>
            <w:r>
              <w:rPr>
                <w:rFonts w:cstheme="minorHAnsi"/>
                <w:b/>
                <w:color w:val="000000" w:themeColor="text1"/>
              </w:rPr>
              <w:t>e.g.</w:t>
            </w:r>
            <w:proofErr w:type="gramEnd"/>
            <w:r>
              <w:rPr>
                <w:rFonts w:cstheme="minorHAnsi"/>
                <w:b/>
                <w:color w:val="000000" w:themeColor="text1"/>
              </w:rPr>
              <w:t xml:space="preserve"> adjustment to </w:t>
            </w:r>
            <w:r w:rsidRPr="00322D59">
              <w:rPr>
                <w:rFonts w:cstheme="minorHAnsi"/>
                <w:b/>
                <w:color w:val="000000" w:themeColor="text1"/>
              </w:rPr>
              <w:t>the policy)</w:t>
            </w:r>
          </w:p>
        </w:tc>
      </w:tr>
      <w:tr w:rsidR="00F93D71" w:rsidRPr="00322D59" w14:paraId="3622CEB4" w14:textId="77777777" w:rsidTr="008E7EE5">
        <w:trPr>
          <w:trHeight w:val="331"/>
        </w:trPr>
        <w:tc>
          <w:tcPr>
            <w:tcW w:w="2264" w:type="dxa"/>
            <w:shd w:val="clear" w:color="auto" w:fill="C6D9F1" w:themeFill="text2" w:themeFillTint="33"/>
          </w:tcPr>
          <w:p w14:paraId="1049E5E5" w14:textId="77777777" w:rsidR="00F93D71" w:rsidRPr="00322D59" w:rsidRDefault="00F93D71" w:rsidP="00F93D71">
            <w:pPr>
              <w:rPr>
                <w:rFonts w:cstheme="minorHAnsi"/>
                <w:b/>
                <w:color w:val="000000" w:themeColor="text1"/>
              </w:rPr>
            </w:pPr>
            <w:r w:rsidRPr="00322D59">
              <w:rPr>
                <w:rFonts w:cstheme="minorHAnsi"/>
                <w:b/>
                <w:color w:val="000000" w:themeColor="text1"/>
              </w:rPr>
              <w:t>Disability</w:t>
            </w:r>
          </w:p>
        </w:tc>
        <w:tc>
          <w:tcPr>
            <w:tcW w:w="2236" w:type="dxa"/>
          </w:tcPr>
          <w:p w14:paraId="259C9F37" w14:textId="77777777" w:rsidR="00F93D71" w:rsidRPr="004545A3" w:rsidRDefault="00F93D71" w:rsidP="00F93D71">
            <w:pPr>
              <w:rPr>
                <w:rFonts w:cstheme="minorHAnsi"/>
              </w:rPr>
            </w:pPr>
            <w:r>
              <w:t>Potential Negative Impact</w:t>
            </w:r>
          </w:p>
          <w:p w14:paraId="3BD791A3" w14:textId="77777777" w:rsidR="00F93D71" w:rsidRPr="004545A3" w:rsidRDefault="00F93D71" w:rsidP="00F93D71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14:paraId="0494B85B" w14:textId="77777777" w:rsidR="00F93D71" w:rsidRDefault="00F93D71" w:rsidP="00F93D71">
            <w:r>
              <w:t>For applicants – all information provided is in a written format.</w:t>
            </w:r>
          </w:p>
          <w:p w14:paraId="4C227468" w14:textId="0148E470" w:rsidR="00F93D71" w:rsidRDefault="00F93D71" w:rsidP="00F93D71"/>
          <w:p w14:paraId="64705B8D" w14:textId="45751946" w:rsidR="00F93D71" w:rsidRDefault="00F93D71" w:rsidP="00F93D71"/>
          <w:p w14:paraId="38576AB2" w14:textId="0CA50775" w:rsidR="00F93D71" w:rsidRDefault="00F93D71" w:rsidP="00F93D71"/>
          <w:p w14:paraId="321BD059" w14:textId="7014ACB0" w:rsidR="00F93D71" w:rsidRDefault="00F93D71" w:rsidP="00F93D71"/>
          <w:p w14:paraId="6431CB47" w14:textId="77777777" w:rsidR="00F93D71" w:rsidRDefault="00F93D71" w:rsidP="00F93D71"/>
          <w:p w14:paraId="2050BAE7" w14:textId="4FCE0810" w:rsidR="00F93D71" w:rsidRDefault="00F93D71" w:rsidP="00F93D71">
            <w:r>
              <w:t>For panel members – access requirements for panel meeting.</w:t>
            </w:r>
          </w:p>
          <w:p w14:paraId="541F02F0" w14:textId="65505FFF" w:rsidR="00F93D71" w:rsidRDefault="00F93D71" w:rsidP="00F93D71"/>
          <w:p w14:paraId="577FA77B" w14:textId="5748FE76" w:rsidR="00F93D71" w:rsidRDefault="00F93D71" w:rsidP="00F93D71"/>
          <w:p w14:paraId="2656DA79" w14:textId="6D08131F" w:rsidR="00F93D71" w:rsidRDefault="00F93D71" w:rsidP="00F93D71"/>
          <w:p w14:paraId="69D26AD2" w14:textId="4858DD1F" w:rsidR="00F93D71" w:rsidRDefault="00F93D71" w:rsidP="00F93D71"/>
          <w:p w14:paraId="1427B825" w14:textId="52D01AAA" w:rsidR="00F93D71" w:rsidRDefault="00F93D71" w:rsidP="00F93D71"/>
          <w:p w14:paraId="149BC094" w14:textId="3637B8EB" w:rsidR="00F93D71" w:rsidRDefault="00F93D71" w:rsidP="00F93D71"/>
          <w:p w14:paraId="12BDF055" w14:textId="1BB9A201" w:rsidR="00F93D71" w:rsidRDefault="00F93D71" w:rsidP="00F93D71"/>
          <w:p w14:paraId="3B88D1E3" w14:textId="0AE8BCEC" w:rsidR="00F93D71" w:rsidRDefault="00F93D71" w:rsidP="00F93D71"/>
          <w:p w14:paraId="1DA459D7" w14:textId="4517581C" w:rsidR="00F93D71" w:rsidRDefault="00F93D71" w:rsidP="00F93D71"/>
          <w:p w14:paraId="2B9BFD32" w14:textId="1A4D2488" w:rsidR="00F93D71" w:rsidRDefault="00F93D71" w:rsidP="00F93D71"/>
          <w:p w14:paraId="1C7F462E" w14:textId="77777777" w:rsidR="00F93D71" w:rsidRDefault="00F93D71" w:rsidP="00F93D71"/>
          <w:p w14:paraId="57FAE884" w14:textId="1CB80543" w:rsidR="00F93D71" w:rsidRPr="004545A3" w:rsidRDefault="00F93D71" w:rsidP="00F93D71">
            <w:pPr>
              <w:rPr>
                <w:rFonts w:cstheme="minorHAnsi"/>
              </w:rPr>
            </w:pPr>
            <w:r>
              <w:t xml:space="preserve">Relatively short timescales for opening of the </w:t>
            </w:r>
            <w:r w:rsidR="00F72122">
              <w:t>call</w:t>
            </w:r>
            <w:r>
              <w:t xml:space="preserve"> may affect ability to participate </w:t>
            </w:r>
            <w:proofErr w:type="gramStart"/>
            <w:r>
              <w:t>e.g.</w:t>
            </w:r>
            <w:proofErr w:type="gramEnd"/>
            <w:r>
              <w:t xml:space="preserve"> if on sick leave or reduced hours.</w:t>
            </w:r>
          </w:p>
        </w:tc>
        <w:tc>
          <w:tcPr>
            <w:tcW w:w="2250" w:type="dxa"/>
          </w:tcPr>
          <w:p w14:paraId="2B1DCC25" w14:textId="4F2AE44E" w:rsidR="00F93D71" w:rsidRDefault="00F93D71" w:rsidP="00F93D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Funding opportunity </w:t>
            </w:r>
            <w:proofErr w:type="spellStart"/>
            <w:r>
              <w:rPr>
                <w:rFonts w:cstheme="minorHAnsi"/>
              </w:rPr>
              <w:t>pavaialle</w:t>
            </w:r>
            <w:proofErr w:type="spellEnd"/>
            <w:r>
              <w:rPr>
                <w:rFonts w:cstheme="minorHAnsi"/>
              </w:rPr>
              <w:t xml:space="preserve"> on </w:t>
            </w:r>
            <w:proofErr w:type="spellStart"/>
            <w:proofErr w:type="gramStart"/>
            <w:r>
              <w:rPr>
                <w:rFonts w:cstheme="minorHAnsi"/>
              </w:rPr>
              <w:t>ewebsite</w:t>
            </w:r>
            <w:proofErr w:type="spellEnd"/>
            <w:r>
              <w:rPr>
                <w:rFonts w:cstheme="minorHAnsi"/>
              </w:rPr>
              <w:t xml:space="preserve">  provided</w:t>
            </w:r>
            <w:proofErr w:type="gramEnd"/>
            <w:r>
              <w:rPr>
                <w:rFonts w:cstheme="minorHAnsi"/>
              </w:rPr>
              <w:t xml:space="preserve"> (scheme call document) produced in black and white and in line with EPSRC formatting guidelines.</w:t>
            </w:r>
          </w:p>
          <w:p w14:paraId="312D79F0" w14:textId="77777777" w:rsidR="00F93D71" w:rsidRDefault="00F93D71" w:rsidP="00F93D71">
            <w:pPr>
              <w:rPr>
                <w:rFonts w:cstheme="minorHAnsi"/>
              </w:rPr>
            </w:pPr>
          </w:p>
          <w:p w14:paraId="7ACC0E2E" w14:textId="77777777" w:rsidR="00F93D71" w:rsidRDefault="00F93D71" w:rsidP="00F93D71">
            <w:r>
              <w:rPr>
                <w:rFonts w:cstheme="minorHAnsi"/>
              </w:rPr>
              <w:t>External panel to be held remotely and reasonable adjustments made to logistics to support participation (</w:t>
            </w:r>
            <w:proofErr w:type="gramStart"/>
            <w:r>
              <w:rPr>
                <w:rFonts w:cstheme="minorHAnsi"/>
              </w:rPr>
              <w:t>e.g.</w:t>
            </w:r>
            <w:proofErr w:type="gramEnd"/>
            <w:r>
              <w:rPr>
                <w:rFonts w:cstheme="minorHAnsi"/>
              </w:rPr>
              <w:t xml:space="preserve"> live transcript during virtual panel). To </w:t>
            </w:r>
            <w:proofErr w:type="spellStart"/>
            <w:r>
              <w:rPr>
                <w:rFonts w:cstheme="minorHAnsi"/>
              </w:rPr>
              <w:t>minimse</w:t>
            </w:r>
            <w:proofErr w:type="spellEnd"/>
            <w:r>
              <w:rPr>
                <w:rFonts w:cstheme="minorHAnsi"/>
              </w:rPr>
              <w:t xml:space="preserve"> the impact</w:t>
            </w:r>
            <w:r>
              <w:t>, the panel will be held remotely and be less than a whole working day in duration.</w:t>
            </w:r>
          </w:p>
          <w:p w14:paraId="6F043B91" w14:textId="77777777" w:rsidR="00F93D71" w:rsidRDefault="00F93D71" w:rsidP="00F93D71">
            <w:pPr>
              <w:rPr>
                <w:rFonts w:cstheme="minorHAnsi"/>
              </w:rPr>
            </w:pPr>
          </w:p>
          <w:p w14:paraId="4FB6E2AC" w14:textId="2F6D1E8B" w:rsidR="00F93D71" w:rsidRPr="004545A3" w:rsidRDefault="00F93D71" w:rsidP="00F93D71">
            <w:pPr>
              <w:rPr>
                <w:rFonts w:cstheme="minorHAnsi"/>
              </w:rPr>
            </w:pPr>
            <w:proofErr w:type="spellStart"/>
            <w:r>
              <w:t>Alongisde</w:t>
            </w:r>
            <w:proofErr w:type="spellEnd"/>
            <w:r>
              <w:t xml:space="preserve"> call going live, frequent comms using social media channels and </w:t>
            </w:r>
            <w:proofErr w:type="spellStart"/>
            <w:r>
              <w:t>netowks</w:t>
            </w:r>
            <w:proofErr w:type="spellEnd"/>
            <w:r>
              <w:t xml:space="preserve"> will be prioritised to enhance the visibility of this activity. The scope of the call is for </w:t>
            </w:r>
            <w:proofErr w:type="spellStart"/>
            <w:r>
              <w:t>feasiblity</w:t>
            </w:r>
            <w:proofErr w:type="spellEnd"/>
            <w:r>
              <w:t xml:space="preserve"> </w:t>
            </w:r>
            <w:proofErr w:type="spellStart"/>
            <w:r>
              <w:t>stufdies</w:t>
            </w:r>
            <w:proofErr w:type="spellEnd"/>
            <w:r>
              <w:t>. As such, proposals can still be submitted through standard mode on an ongoing basis.</w:t>
            </w:r>
          </w:p>
        </w:tc>
      </w:tr>
      <w:tr w:rsidR="00F72122" w:rsidRPr="00322D59" w14:paraId="460D668A" w14:textId="77777777" w:rsidTr="008E7EE5">
        <w:tc>
          <w:tcPr>
            <w:tcW w:w="2264" w:type="dxa"/>
            <w:shd w:val="clear" w:color="auto" w:fill="C6D9F1" w:themeFill="text2" w:themeFillTint="33"/>
          </w:tcPr>
          <w:p w14:paraId="7060B0A5" w14:textId="77777777" w:rsidR="00F72122" w:rsidRPr="00322D59" w:rsidRDefault="00F72122" w:rsidP="00F72122">
            <w:pPr>
              <w:rPr>
                <w:rFonts w:cstheme="minorHAnsi"/>
                <w:b/>
                <w:color w:val="000000" w:themeColor="text1"/>
              </w:rPr>
            </w:pPr>
            <w:r w:rsidRPr="00322D59">
              <w:rPr>
                <w:rFonts w:cstheme="minorHAnsi"/>
                <w:b/>
                <w:color w:val="000000" w:themeColor="text1"/>
              </w:rPr>
              <w:t>Gender reassignment</w:t>
            </w:r>
          </w:p>
        </w:tc>
        <w:tc>
          <w:tcPr>
            <w:tcW w:w="2236" w:type="dxa"/>
          </w:tcPr>
          <w:p w14:paraId="584D1690" w14:textId="77777777" w:rsidR="00F72122" w:rsidRPr="004545A3" w:rsidRDefault="00F72122" w:rsidP="00F72122">
            <w:pPr>
              <w:rPr>
                <w:rFonts w:cstheme="minorHAnsi"/>
              </w:rPr>
            </w:pPr>
            <w:r>
              <w:rPr>
                <w:rFonts w:cstheme="minorHAnsi"/>
              </w:rPr>
              <w:t>Potential negative impact</w:t>
            </w:r>
          </w:p>
          <w:p w14:paraId="0EAEE84A" w14:textId="77777777" w:rsidR="00F72122" w:rsidRPr="004545A3" w:rsidRDefault="00F72122" w:rsidP="00F72122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14:paraId="67122490" w14:textId="206779B7" w:rsidR="00F72122" w:rsidRPr="004545A3" w:rsidRDefault="00F72122" w:rsidP="00F72122">
            <w:pPr>
              <w:rPr>
                <w:rFonts w:cstheme="minorHAnsi"/>
              </w:rPr>
            </w:pPr>
            <w:r>
              <w:rPr>
                <w:rFonts w:cstheme="minorHAnsi"/>
              </w:rPr>
              <w:t>Gender specific language within communications</w:t>
            </w:r>
          </w:p>
        </w:tc>
        <w:tc>
          <w:tcPr>
            <w:tcW w:w="2250" w:type="dxa"/>
          </w:tcPr>
          <w:p w14:paraId="215F9154" w14:textId="77777777" w:rsidR="00F72122" w:rsidRDefault="00F72122" w:rsidP="00F7212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Gender neutral language will be used throughout and will be encourages at panel meetings.</w:t>
            </w:r>
          </w:p>
          <w:p w14:paraId="27BB2403" w14:textId="77777777" w:rsidR="00F72122" w:rsidRDefault="00F72122" w:rsidP="00F72122">
            <w:pPr>
              <w:rPr>
                <w:rFonts w:cstheme="minorHAnsi"/>
                <w:b/>
                <w:bCs/>
              </w:rPr>
            </w:pPr>
          </w:p>
          <w:p w14:paraId="3E11A5AB" w14:textId="4A77A86A" w:rsidR="00F72122" w:rsidRPr="004545A3" w:rsidRDefault="00F72122" w:rsidP="00F72122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S</w:t>
            </w:r>
            <w:r w:rsidRPr="008D4B42">
              <w:rPr>
                <w:rFonts w:cstheme="minorHAnsi"/>
              </w:rPr>
              <w:t xml:space="preserve">tandard EPSRC policies will be followed at all stages of the process.  </w:t>
            </w:r>
          </w:p>
        </w:tc>
      </w:tr>
      <w:tr w:rsidR="00F72122" w:rsidRPr="00322D59" w14:paraId="31787A6F" w14:textId="77777777" w:rsidTr="008E7EE5">
        <w:tc>
          <w:tcPr>
            <w:tcW w:w="2264" w:type="dxa"/>
            <w:shd w:val="clear" w:color="auto" w:fill="C6D9F1" w:themeFill="text2" w:themeFillTint="33"/>
          </w:tcPr>
          <w:p w14:paraId="0B2398AC" w14:textId="77777777" w:rsidR="00F72122" w:rsidRPr="00322D59" w:rsidRDefault="00F72122" w:rsidP="00F72122">
            <w:pPr>
              <w:rPr>
                <w:rFonts w:cstheme="minorHAnsi"/>
                <w:b/>
                <w:color w:val="000000" w:themeColor="text1"/>
              </w:rPr>
            </w:pPr>
            <w:r w:rsidRPr="00322D59">
              <w:rPr>
                <w:rFonts w:cstheme="minorHAnsi"/>
                <w:b/>
                <w:color w:val="000000" w:themeColor="text1"/>
              </w:rPr>
              <w:t>Marriage or civil partnership</w:t>
            </w:r>
          </w:p>
        </w:tc>
        <w:tc>
          <w:tcPr>
            <w:tcW w:w="2236" w:type="dxa"/>
          </w:tcPr>
          <w:p w14:paraId="0BFA1724" w14:textId="49628126" w:rsidR="00F72122" w:rsidRPr="004545A3" w:rsidRDefault="00F72122" w:rsidP="00F72122">
            <w:pPr>
              <w:rPr>
                <w:rFonts w:cstheme="minorHAnsi"/>
              </w:rPr>
            </w:pPr>
            <w:r>
              <w:rPr>
                <w:rFonts w:cstheme="minorHAnsi"/>
              </w:rPr>
              <w:t>No known negative impact</w:t>
            </w:r>
          </w:p>
        </w:tc>
        <w:tc>
          <w:tcPr>
            <w:tcW w:w="2266" w:type="dxa"/>
          </w:tcPr>
          <w:p w14:paraId="14567B0D" w14:textId="63015C34" w:rsidR="00F72122" w:rsidRPr="004545A3" w:rsidRDefault="00F72122" w:rsidP="00F7212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 disclosure of marital status required </w:t>
            </w:r>
            <w:r>
              <w:rPr>
                <w:rFonts w:cstheme="minorHAnsi"/>
              </w:rPr>
              <w:lastRenderedPageBreak/>
              <w:t>for any stage of the process</w:t>
            </w:r>
          </w:p>
        </w:tc>
        <w:tc>
          <w:tcPr>
            <w:tcW w:w="2250" w:type="dxa"/>
          </w:tcPr>
          <w:p w14:paraId="54BB5353" w14:textId="66A3DD93" w:rsidR="00F72122" w:rsidRPr="004545A3" w:rsidRDefault="00F72122" w:rsidP="00F72122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lastRenderedPageBreak/>
              <w:t>S</w:t>
            </w:r>
            <w:r w:rsidRPr="008D4B42">
              <w:rPr>
                <w:rFonts w:cstheme="minorHAnsi"/>
              </w:rPr>
              <w:t xml:space="preserve">tandard EPSRC policies will be </w:t>
            </w:r>
            <w:r w:rsidRPr="008D4B42">
              <w:rPr>
                <w:rFonts w:cstheme="minorHAnsi"/>
              </w:rPr>
              <w:lastRenderedPageBreak/>
              <w:t xml:space="preserve">followed at all stages of the process.  </w:t>
            </w:r>
          </w:p>
        </w:tc>
      </w:tr>
      <w:tr w:rsidR="00F72122" w:rsidRPr="00322D59" w14:paraId="7A8D8199" w14:textId="77777777" w:rsidTr="008E7EE5">
        <w:tc>
          <w:tcPr>
            <w:tcW w:w="2264" w:type="dxa"/>
            <w:shd w:val="clear" w:color="auto" w:fill="C6D9F1" w:themeFill="text2" w:themeFillTint="33"/>
          </w:tcPr>
          <w:p w14:paraId="75FDC1A6" w14:textId="77777777" w:rsidR="00F72122" w:rsidRPr="00322D59" w:rsidRDefault="00F72122" w:rsidP="00F72122">
            <w:pPr>
              <w:rPr>
                <w:rFonts w:cstheme="minorHAnsi"/>
                <w:b/>
                <w:color w:val="000000" w:themeColor="text1"/>
              </w:rPr>
            </w:pPr>
            <w:r w:rsidRPr="00322D59">
              <w:rPr>
                <w:rFonts w:cstheme="minorHAnsi"/>
                <w:b/>
                <w:color w:val="000000" w:themeColor="text1"/>
              </w:rPr>
              <w:lastRenderedPageBreak/>
              <w:t>Pregnancy and maternity</w:t>
            </w:r>
          </w:p>
        </w:tc>
        <w:tc>
          <w:tcPr>
            <w:tcW w:w="2236" w:type="dxa"/>
          </w:tcPr>
          <w:p w14:paraId="453832A8" w14:textId="77777777" w:rsidR="00F72122" w:rsidRPr="004545A3" w:rsidRDefault="00F72122" w:rsidP="00F72122">
            <w:pPr>
              <w:rPr>
                <w:rFonts w:cstheme="minorHAnsi"/>
              </w:rPr>
            </w:pPr>
            <w:r>
              <w:rPr>
                <w:rFonts w:cstheme="minorHAnsi"/>
              </w:rPr>
              <w:t>Potential negative impact</w:t>
            </w:r>
          </w:p>
          <w:p w14:paraId="17FC403C" w14:textId="77777777" w:rsidR="00F72122" w:rsidRPr="004545A3" w:rsidRDefault="00F72122" w:rsidP="00F72122">
            <w:pPr>
              <w:rPr>
                <w:rFonts w:cstheme="minorHAnsi"/>
              </w:rPr>
            </w:pPr>
          </w:p>
          <w:p w14:paraId="4338F22C" w14:textId="77777777" w:rsidR="00F72122" w:rsidRPr="004545A3" w:rsidRDefault="00F72122" w:rsidP="00F72122">
            <w:pPr>
              <w:rPr>
                <w:rFonts w:cstheme="minorHAnsi"/>
              </w:rPr>
            </w:pPr>
          </w:p>
          <w:p w14:paraId="78167041" w14:textId="77777777" w:rsidR="00F72122" w:rsidRPr="004545A3" w:rsidRDefault="00F72122" w:rsidP="00F72122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14:paraId="7AAF5A8C" w14:textId="1C52E73B" w:rsidR="00F72122" w:rsidRDefault="00F72122" w:rsidP="00F72122">
            <w:r>
              <w:t xml:space="preserve">For applicants – relatively short timescales for opening of the call affect ability to participate </w:t>
            </w:r>
            <w:proofErr w:type="gramStart"/>
            <w:r>
              <w:t>e.g.</w:t>
            </w:r>
            <w:proofErr w:type="gramEnd"/>
            <w:r>
              <w:t xml:space="preserve"> if on parental leave.</w:t>
            </w:r>
          </w:p>
          <w:p w14:paraId="3431A186" w14:textId="77777777" w:rsidR="00F72122" w:rsidRDefault="00F72122" w:rsidP="00F72122">
            <w:pPr>
              <w:rPr>
                <w:rFonts w:cstheme="minorHAnsi"/>
              </w:rPr>
            </w:pPr>
          </w:p>
          <w:p w14:paraId="6F0E6479" w14:textId="77777777" w:rsidR="00F72122" w:rsidRDefault="00F72122" w:rsidP="00F72122">
            <w:pPr>
              <w:rPr>
                <w:rFonts w:cstheme="minorHAnsi"/>
              </w:rPr>
            </w:pPr>
          </w:p>
          <w:p w14:paraId="16316B26" w14:textId="77777777" w:rsidR="00F72122" w:rsidRDefault="00F72122" w:rsidP="00F72122">
            <w:pPr>
              <w:rPr>
                <w:rFonts w:cstheme="minorHAnsi"/>
              </w:rPr>
            </w:pPr>
          </w:p>
          <w:p w14:paraId="00E84795" w14:textId="77777777" w:rsidR="00F72122" w:rsidRDefault="00F72122" w:rsidP="00F72122">
            <w:pPr>
              <w:rPr>
                <w:rFonts w:cstheme="minorHAnsi"/>
              </w:rPr>
            </w:pPr>
          </w:p>
          <w:p w14:paraId="6A0ECA23" w14:textId="77777777" w:rsidR="00F72122" w:rsidRDefault="00F72122" w:rsidP="00F72122">
            <w:pPr>
              <w:rPr>
                <w:rFonts w:cstheme="minorHAnsi"/>
              </w:rPr>
            </w:pPr>
          </w:p>
          <w:p w14:paraId="546D8498" w14:textId="77777777" w:rsidR="00F72122" w:rsidRDefault="00F72122" w:rsidP="00F72122">
            <w:pPr>
              <w:rPr>
                <w:rFonts w:cstheme="minorHAnsi"/>
              </w:rPr>
            </w:pPr>
          </w:p>
          <w:p w14:paraId="0CD02B11" w14:textId="77777777" w:rsidR="00F72122" w:rsidRDefault="00F72122" w:rsidP="00F72122">
            <w:pPr>
              <w:rPr>
                <w:rFonts w:cstheme="minorHAnsi"/>
              </w:rPr>
            </w:pPr>
          </w:p>
          <w:p w14:paraId="2910DBE2" w14:textId="77777777" w:rsidR="00F72122" w:rsidRDefault="00F72122" w:rsidP="00F72122">
            <w:pPr>
              <w:rPr>
                <w:rFonts w:cstheme="minorHAnsi"/>
              </w:rPr>
            </w:pPr>
          </w:p>
          <w:p w14:paraId="06D02321" w14:textId="77777777" w:rsidR="00F72122" w:rsidRDefault="00F72122" w:rsidP="00F72122">
            <w:pPr>
              <w:rPr>
                <w:rFonts w:cstheme="minorHAnsi"/>
              </w:rPr>
            </w:pPr>
          </w:p>
          <w:p w14:paraId="680E2918" w14:textId="77777777" w:rsidR="00F72122" w:rsidRDefault="00F72122" w:rsidP="00F72122">
            <w:pPr>
              <w:rPr>
                <w:rFonts w:cstheme="minorHAnsi"/>
              </w:rPr>
            </w:pPr>
            <w:r>
              <w:rPr>
                <w:rFonts w:cstheme="minorHAnsi"/>
              </w:rPr>
              <w:t>For panel members – additional requirements for those with caring responsibilities or pregnancy.</w:t>
            </w:r>
          </w:p>
          <w:p w14:paraId="22EBB246" w14:textId="77777777" w:rsidR="00F72122" w:rsidRDefault="00F72122" w:rsidP="00F72122">
            <w:pPr>
              <w:rPr>
                <w:rFonts w:cstheme="minorHAnsi"/>
              </w:rPr>
            </w:pPr>
          </w:p>
          <w:p w14:paraId="0FDD54B8" w14:textId="024B6EF1" w:rsidR="00F72122" w:rsidRPr="004545A3" w:rsidRDefault="00F72122" w:rsidP="00F72122">
            <w:pPr>
              <w:rPr>
                <w:rFonts w:cstheme="minorHAnsi"/>
              </w:rPr>
            </w:pPr>
          </w:p>
        </w:tc>
        <w:tc>
          <w:tcPr>
            <w:tcW w:w="2250" w:type="dxa"/>
          </w:tcPr>
          <w:p w14:paraId="2F11755C" w14:textId="7E9CA01D" w:rsidR="00F72122" w:rsidRDefault="00F72122" w:rsidP="00F72122">
            <w:proofErr w:type="spellStart"/>
            <w:r>
              <w:t>Alongisde</w:t>
            </w:r>
            <w:proofErr w:type="spellEnd"/>
            <w:r>
              <w:t xml:space="preserve"> call going live, frequent comms using social media channels and </w:t>
            </w:r>
            <w:proofErr w:type="spellStart"/>
            <w:r>
              <w:t>netowks</w:t>
            </w:r>
            <w:proofErr w:type="spellEnd"/>
            <w:r>
              <w:t xml:space="preserve"> will be prioritised to enhance the visibility of this activity. The scope of the call is for </w:t>
            </w:r>
            <w:proofErr w:type="spellStart"/>
            <w:r>
              <w:t>feasiblity</w:t>
            </w:r>
            <w:proofErr w:type="spellEnd"/>
            <w:r>
              <w:t xml:space="preserve"> </w:t>
            </w:r>
            <w:proofErr w:type="spellStart"/>
            <w:r>
              <w:t>stufdies</w:t>
            </w:r>
            <w:proofErr w:type="spellEnd"/>
            <w:r>
              <w:t>. As such, proposals can still be submitted through standard mode on an ongoing basis.</w:t>
            </w:r>
          </w:p>
          <w:p w14:paraId="4BD02576" w14:textId="77777777" w:rsidR="00F72122" w:rsidRDefault="00F72122" w:rsidP="00F72122"/>
          <w:p w14:paraId="4C9C4E4D" w14:textId="6B89D905" w:rsidR="00F72122" w:rsidRDefault="00F72122" w:rsidP="00F7212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Expert panels to be held remotely to remove travel requirements. </w:t>
            </w:r>
          </w:p>
          <w:p w14:paraId="22577AA5" w14:textId="1108E017" w:rsidR="00F72122" w:rsidRDefault="00F72122" w:rsidP="00F72122">
            <w:pPr>
              <w:rPr>
                <w:rFonts w:cstheme="minorHAnsi"/>
              </w:rPr>
            </w:pPr>
          </w:p>
          <w:p w14:paraId="1C898529" w14:textId="77777777" w:rsidR="00F72122" w:rsidRDefault="00F72122" w:rsidP="00F72122"/>
          <w:p w14:paraId="4FE3D3EA" w14:textId="77777777" w:rsidR="00F72122" w:rsidRDefault="00F72122" w:rsidP="00F72122"/>
          <w:p w14:paraId="707DB54F" w14:textId="77777777" w:rsidR="00F72122" w:rsidRDefault="00F72122" w:rsidP="00F72122">
            <w:pPr>
              <w:rPr>
                <w:rFonts w:cstheme="minorHAnsi"/>
                <w:bCs/>
              </w:rPr>
            </w:pPr>
            <w:r w:rsidRPr="008D4B42">
              <w:rPr>
                <w:rFonts w:cstheme="minorHAnsi"/>
                <w:bCs/>
              </w:rPr>
              <w:t>EPSRC policies for offering support to those with caring responsibilities will be followed and panel members and applicants will be made aware of these.</w:t>
            </w:r>
          </w:p>
          <w:p w14:paraId="036C23A8" w14:textId="77777777" w:rsidR="00F72122" w:rsidRDefault="00F72122" w:rsidP="00F72122">
            <w:pPr>
              <w:rPr>
                <w:rFonts w:cstheme="minorHAnsi"/>
              </w:rPr>
            </w:pPr>
          </w:p>
          <w:p w14:paraId="3907C7EC" w14:textId="1C0DA140" w:rsidR="00F72122" w:rsidRPr="004545A3" w:rsidRDefault="00F72122" w:rsidP="00F72122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D4B42">
              <w:rPr>
                <w:rFonts w:cstheme="minorHAnsi"/>
              </w:rPr>
              <w:t>tandard EPSRC policies will be followed at all stages of the process.</w:t>
            </w:r>
          </w:p>
        </w:tc>
      </w:tr>
      <w:tr w:rsidR="00F72122" w:rsidRPr="00322D59" w14:paraId="57ADFFA8" w14:textId="77777777" w:rsidTr="008E7EE5">
        <w:tc>
          <w:tcPr>
            <w:tcW w:w="2264" w:type="dxa"/>
            <w:shd w:val="clear" w:color="auto" w:fill="C6D9F1" w:themeFill="text2" w:themeFillTint="33"/>
          </w:tcPr>
          <w:p w14:paraId="21B1B4C2" w14:textId="77777777" w:rsidR="00F72122" w:rsidRPr="00322D59" w:rsidRDefault="00F72122" w:rsidP="00F72122">
            <w:pPr>
              <w:rPr>
                <w:rFonts w:cstheme="minorHAnsi"/>
                <w:b/>
                <w:color w:val="000000" w:themeColor="text1"/>
              </w:rPr>
            </w:pPr>
            <w:r w:rsidRPr="00322D59">
              <w:rPr>
                <w:rFonts w:cstheme="minorHAnsi"/>
                <w:b/>
                <w:color w:val="000000" w:themeColor="text1"/>
              </w:rPr>
              <w:t>Race</w:t>
            </w:r>
          </w:p>
        </w:tc>
        <w:tc>
          <w:tcPr>
            <w:tcW w:w="2236" w:type="dxa"/>
          </w:tcPr>
          <w:p w14:paraId="65A2A0AA" w14:textId="77777777" w:rsidR="00F72122" w:rsidRPr="004545A3" w:rsidRDefault="00F72122" w:rsidP="00F72122">
            <w:pPr>
              <w:rPr>
                <w:rFonts w:cstheme="minorHAnsi"/>
              </w:rPr>
            </w:pPr>
            <w:r>
              <w:rPr>
                <w:rFonts w:cstheme="minorHAnsi"/>
              </w:rPr>
              <w:t>No known negative impact</w:t>
            </w:r>
          </w:p>
          <w:p w14:paraId="2AFA885B" w14:textId="77777777" w:rsidR="00F72122" w:rsidRPr="004545A3" w:rsidRDefault="00F72122" w:rsidP="00F72122">
            <w:pPr>
              <w:rPr>
                <w:rFonts w:cstheme="minorHAnsi"/>
              </w:rPr>
            </w:pPr>
          </w:p>
          <w:p w14:paraId="684DC26E" w14:textId="77777777" w:rsidR="00F72122" w:rsidRPr="004545A3" w:rsidRDefault="00F72122" w:rsidP="00F72122">
            <w:pPr>
              <w:rPr>
                <w:rFonts w:cstheme="minorHAnsi"/>
              </w:rPr>
            </w:pPr>
          </w:p>
          <w:p w14:paraId="2746B584" w14:textId="77777777" w:rsidR="00F72122" w:rsidRPr="004545A3" w:rsidRDefault="00F72122" w:rsidP="00F72122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14:paraId="5EAE4DF6" w14:textId="0A28D8B8" w:rsidR="00F72122" w:rsidRPr="004545A3" w:rsidRDefault="00F72122" w:rsidP="00F72122">
            <w:pPr>
              <w:rPr>
                <w:rFonts w:cstheme="minorHAnsi"/>
              </w:rPr>
            </w:pPr>
            <w:r>
              <w:rPr>
                <w:rFonts w:cstheme="minorHAnsi"/>
              </w:rPr>
              <w:t>Potential risk – lack of diversity of ethnicity and race of panel members and/or applicants</w:t>
            </w:r>
          </w:p>
        </w:tc>
        <w:tc>
          <w:tcPr>
            <w:tcW w:w="2250" w:type="dxa"/>
          </w:tcPr>
          <w:p w14:paraId="6A8ACB23" w14:textId="77777777" w:rsidR="00F72122" w:rsidRDefault="00F72122" w:rsidP="00F72122">
            <w:pPr>
              <w:rPr>
                <w:rFonts w:cstheme="minorHAnsi"/>
              </w:rPr>
            </w:pPr>
            <w:r>
              <w:rPr>
                <w:rFonts w:cstheme="minorHAnsi"/>
              </w:rPr>
              <w:t>Efforts will be made to convene an external panel which is ethnically diverse in line with EPSRC peer review guidance. The scheme is open to all eligible UK researcher organisations.</w:t>
            </w:r>
          </w:p>
          <w:p w14:paraId="394498E6" w14:textId="77777777" w:rsidR="00F72122" w:rsidRDefault="00F72122" w:rsidP="00F72122">
            <w:pPr>
              <w:rPr>
                <w:rFonts w:cstheme="minorHAnsi"/>
              </w:rPr>
            </w:pPr>
          </w:p>
          <w:p w14:paraId="5FF1BB5E" w14:textId="2E8D1303" w:rsidR="00F72122" w:rsidRPr="004545A3" w:rsidRDefault="00F72122" w:rsidP="00F72122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D4B42">
              <w:rPr>
                <w:rFonts w:cstheme="minorHAnsi"/>
              </w:rPr>
              <w:t xml:space="preserve">tandard EPSRC policies will be followed at all stages of the process.  </w:t>
            </w:r>
          </w:p>
        </w:tc>
      </w:tr>
      <w:tr w:rsidR="00F72122" w:rsidRPr="00322D59" w14:paraId="6DB5D963" w14:textId="77777777" w:rsidTr="008E7EE5">
        <w:tc>
          <w:tcPr>
            <w:tcW w:w="2264" w:type="dxa"/>
            <w:shd w:val="clear" w:color="auto" w:fill="C6D9F1" w:themeFill="text2" w:themeFillTint="33"/>
          </w:tcPr>
          <w:p w14:paraId="4935A932" w14:textId="77777777" w:rsidR="00F72122" w:rsidRPr="00322D59" w:rsidRDefault="00F72122" w:rsidP="00F72122">
            <w:pPr>
              <w:rPr>
                <w:rFonts w:cstheme="minorHAnsi"/>
                <w:b/>
                <w:color w:val="000000" w:themeColor="text1"/>
              </w:rPr>
            </w:pPr>
            <w:r w:rsidRPr="00322D59">
              <w:rPr>
                <w:rFonts w:cstheme="minorHAnsi"/>
                <w:b/>
                <w:color w:val="000000" w:themeColor="text1"/>
              </w:rPr>
              <w:lastRenderedPageBreak/>
              <w:t>Religion or belief</w:t>
            </w:r>
          </w:p>
        </w:tc>
        <w:tc>
          <w:tcPr>
            <w:tcW w:w="2236" w:type="dxa"/>
          </w:tcPr>
          <w:p w14:paraId="06B85999" w14:textId="77777777" w:rsidR="00F72122" w:rsidRPr="004545A3" w:rsidRDefault="00F72122" w:rsidP="00F72122">
            <w:pPr>
              <w:rPr>
                <w:rFonts w:cstheme="minorHAnsi"/>
              </w:rPr>
            </w:pPr>
            <w:r>
              <w:rPr>
                <w:rFonts w:cstheme="minorHAnsi"/>
              </w:rPr>
              <w:t>Potentially negative impact</w:t>
            </w:r>
          </w:p>
          <w:p w14:paraId="6951FB9A" w14:textId="77777777" w:rsidR="00F72122" w:rsidRPr="004545A3" w:rsidRDefault="00F72122" w:rsidP="00F72122">
            <w:pPr>
              <w:rPr>
                <w:rFonts w:cstheme="minorHAnsi"/>
              </w:rPr>
            </w:pPr>
          </w:p>
          <w:p w14:paraId="092E258E" w14:textId="77777777" w:rsidR="00F72122" w:rsidRPr="004545A3" w:rsidRDefault="00F72122" w:rsidP="00F72122">
            <w:pPr>
              <w:rPr>
                <w:rFonts w:cstheme="minorHAnsi"/>
              </w:rPr>
            </w:pPr>
          </w:p>
          <w:p w14:paraId="5435246F" w14:textId="77777777" w:rsidR="00F72122" w:rsidRPr="004545A3" w:rsidRDefault="00F72122" w:rsidP="00F72122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14:paraId="15C3A24C" w14:textId="4A636D8F" w:rsidR="00F72122" w:rsidRPr="004545A3" w:rsidRDefault="00F72122" w:rsidP="00F72122">
            <w:pPr>
              <w:rPr>
                <w:rFonts w:cstheme="minorHAnsi"/>
              </w:rPr>
            </w:pPr>
            <w:r>
              <w:rPr>
                <w:rFonts w:cstheme="minorHAnsi"/>
              </w:rPr>
              <w:t>Participation could be affected by coincidence with religious holidays</w:t>
            </w:r>
          </w:p>
        </w:tc>
        <w:tc>
          <w:tcPr>
            <w:tcW w:w="2250" w:type="dxa"/>
          </w:tcPr>
          <w:p w14:paraId="0D360DA3" w14:textId="1F1C39E7" w:rsidR="00F72122" w:rsidRPr="00F72122" w:rsidRDefault="00F72122" w:rsidP="00F72122">
            <w:r>
              <w:rPr>
                <w:rFonts w:cstheme="minorHAnsi"/>
                <w:bCs/>
              </w:rPr>
              <w:t>EPSRC endeavours to select panel dates and proposal batching dates that are cognisant of major holidays</w:t>
            </w:r>
            <w:r>
              <w:t xml:space="preserve">. The scope of the call is for </w:t>
            </w:r>
            <w:proofErr w:type="spellStart"/>
            <w:r>
              <w:t>feasiblity</w:t>
            </w:r>
            <w:proofErr w:type="spellEnd"/>
            <w:r>
              <w:t xml:space="preserve"> studies. As such, proposals can still be submitted through standard mode on an ongoing basis.</w:t>
            </w:r>
          </w:p>
        </w:tc>
      </w:tr>
      <w:tr w:rsidR="00F72122" w:rsidRPr="00322D59" w14:paraId="57BB30D7" w14:textId="77777777" w:rsidTr="008E7EE5">
        <w:tc>
          <w:tcPr>
            <w:tcW w:w="2264" w:type="dxa"/>
            <w:shd w:val="clear" w:color="auto" w:fill="C6D9F1" w:themeFill="text2" w:themeFillTint="33"/>
          </w:tcPr>
          <w:p w14:paraId="7461AD7D" w14:textId="77777777" w:rsidR="00F72122" w:rsidRPr="00322D59" w:rsidRDefault="00F72122" w:rsidP="00F72122">
            <w:pPr>
              <w:rPr>
                <w:rFonts w:cstheme="minorHAnsi"/>
                <w:b/>
                <w:color w:val="000000" w:themeColor="text1"/>
              </w:rPr>
            </w:pPr>
            <w:r w:rsidRPr="00322D59">
              <w:rPr>
                <w:rFonts w:cstheme="minorHAnsi"/>
                <w:b/>
                <w:color w:val="000000" w:themeColor="text1"/>
              </w:rPr>
              <w:t>Sexual orientation</w:t>
            </w:r>
          </w:p>
        </w:tc>
        <w:tc>
          <w:tcPr>
            <w:tcW w:w="2236" w:type="dxa"/>
          </w:tcPr>
          <w:p w14:paraId="3528788A" w14:textId="4AAF721E" w:rsidR="00F72122" w:rsidRPr="004545A3" w:rsidRDefault="00F72122" w:rsidP="00F72122">
            <w:pPr>
              <w:rPr>
                <w:rFonts w:cstheme="minorHAnsi"/>
              </w:rPr>
            </w:pPr>
            <w:r>
              <w:rPr>
                <w:rFonts w:cstheme="minorHAnsi"/>
              </w:rPr>
              <w:t>No known negative impact</w:t>
            </w:r>
          </w:p>
        </w:tc>
        <w:tc>
          <w:tcPr>
            <w:tcW w:w="2266" w:type="dxa"/>
          </w:tcPr>
          <w:p w14:paraId="6CA518DA" w14:textId="47B9C3F0" w:rsidR="00F72122" w:rsidRPr="004545A3" w:rsidRDefault="00F72122" w:rsidP="00F72122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No disclosure of sexual orientation required for any stage of the process</w:t>
            </w:r>
          </w:p>
        </w:tc>
        <w:tc>
          <w:tcPr>
            <w:tcW w:w="2250" w:type="dxa"/>
          </w:tcPr>
          <w:p w14:paraId="14B7516B" w14:textId="18E612E9" w:rsidR="00F72122" w:rsidRPr="004545A3" w:rsidRDefault="00F72122" w:rsidP="00F72122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S</w:t>
            </w:r>
            <w:r w:rsidRPr="008D4B42">
              <w:rPr>
                <w:rFonts w:cstheme="minorHAnsi"/>
              </w:rPr>
              <w:t xml:space="preserve">tandard EPSRC policies will be followed at all stages of the process.  </w:t>
            </w:r>
          </w:p>
        </w:tc>
      </w:tr>
      <w:tr w:rsidR="00F72122" w:rsidRPr="00322D59" w14:paraId="30DDA12E" w14:textId="77777777" w:rsidTr="008E7EE5">
        <w:tc>
          <w:tcPr>
            <w:tcW w:w="2264" w:type="dxa"/>
            <w:shd w:val="clear" w:color="auto" w:fill="C6D9F1" w:themeFill="text2" w:themeFillTint="33"/>
          </w:tcPr>
          <w:p w14:paraId="434D8012" w14:textId="77777777" w:rsidR="00F72122" w:rsidRPr="00322D59" w:rsidRDefault="00F72122" w:rsidP="00F72122">
            <w:pPr>
              <w:rPr>
                <w:rFonts w:cstheme="minorHAnsi"/>
                <w:b/>
                <w:color w:val="000000" w:themeColor="text1"/>
              </w:rPr>
            </w:pPr>
            <w:r w:rsidRPr="00322D59">
              <w:rPr>
                <w:rFonts w:cstheme="minorHAnsi"/>
                <w:b/>
                <w:color w:val="000000" w:themeColor="text1"/>
              </w:rPr>
              <w:t>Sex (gender)</w:t>
            </w:r>
          </w:p>
        </w:tc>
        <w:tc>
          <w:tcPr>
            <w:tcW w:w="2236" w:type="dxa"/>
          </w:tcPr>
          <w:p w14:paraId="036EBB0C" w14:textId="3C9E9C43" w:rsidR="00F72122" w:rsidRPr="004545A3" w:rsidRDefault="00F72122" w:rsidP="00F72122">
            <w:pPr>
              <w:rPr>
                <w:rFonts w:cstheme="minorHAnsi"/>
              </w:rPr>
            </w:pPr>
            <w:r>
              <w:rPr>
                <w:rFonts w:cstheme="minorHAnsi"/>
              </w:rPr>
              <w:t>Potentially negative impact</w:t>
            </w:r>
          </w:p>
        </w:tc>
        <w:tc>
          <w:tcPr>
            <w:tcW w:w="2266" w:type="dxa"/>
          </w:tcPr>
          <w:p w14:paraId="4A0A7162" w14:textId="2BDD9A85" w:rsidR="00F72122" w:rsidRPr="004545A3" w:rsidRDefault="00F72122" w:rsidP="00F72122">
            <w:pPr>
              <w:rPr>
                <w:rFonts w:cstheme="minorHAnsi"/>
              </w:rPr>
            </w:pPr>
            <w:r>
              <w:rPr>
                <w:rFonts w:cstheme="minorHAnsi"/>
              </w:rPr>
              <w:t>Gender diversity of the assessment panels.</w:t>
            </w:r>
          </w:p>
        </w:tc>
        <w:tc>
          <w:tcPr>
            <w:tcW w:w="2250" w:type="dxa"/>
          </w:tcPr>
          <w:p w14:paraId="637236EA" w14:textId="7736C54D" w:rsidR="00F72122" w:rsidRDefault="00F72122" w:rsidP="00F72122">
            <w:pPr>
              <w:rPr>
                <w:rFonts w:cstheme="minorHAnsi"/>
              </w:rPr>
            </w:pPr>
            <w:r>
              <w:rPr>
                <w:rFonts w:cstheme="minorHAnsi"/>
              </w:rPr>
              <w:t>Efforts will be made to convene and external panel which mixed gender in line with EPSRC peer review guidance.</w:t>
            </w:r>
          </w:p>
          <w:p w14:paraId="4ABEA8C7" w14:textId="77777777" w:rsidR="00F72122" w:rsidRDefault="00F72122" w:rsidP="00F72122">
            <w:pPr>
              <w:rPr>
                <w:rFonts w:cstheme="minorHAnsi"/>
                <w:b/>
              </w:rPr>
            </w:pPr>
          </w:p>
          <w:p w14:paraId="0DAC9505" w14:textId="0F5DB1E3" w:rsidR="00F72122" w:rsidRPr="004545A3" w:rsidRDefault="00F72122" w:rsidP="00F72122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S</w:t>
            </w:r>
            <w:r w:rsidRPr="008D4B42">
              <w:rPr>
                <w:rFonts w:cstheme="minorHAnsi"/>
              </w:rPr>
              <w:t xml:space="preserve">tandard EPSRC policies will be followed at all stages of the process.  </w:t>
            </w:r>
          </w:p>
        </w:tc>
      </w:tr>
      <w:tr w:rsidR="00F72122" w:rsidRPr="00322D59" w14:paraId="2001B4D2" w14:textId="77777777" w:rsidTr="008E7EE5">
        <w:tc>
          <w:tcPr>
            <w:tcW w:w="2264" w:type="dxa"/>
            <w:shd w:val="clear" w:color="auto" w:fill="C6D9F1" w:themeFill="text2" w:themeFillTint="33"/>
          </w:tcPr>
          <w:p w14:paraId="417D3CAD" w14:textId="77777777" w:rsidR="00F72122" w:rsidRPr="00322D59" w:rsidRDefault="00F72122" w:rsidP="00F72122">
            <w:pPr>
              <w:rPr>
                <w:rFonts w:cstheme="minorHAnsi"/>
                <w:b/>
                <w:color w:val="000000" w:themeColor="text1"/>
              </w:rPr>
            </w:pPr>
            <w:r w:rsidRPr="00322D59">
              <w:rPr>
                <w:rFonts w:cstheme="minorHAnsi"/>
                <w:b/>
                <w:color w:val="000000" w:themeColor="text1"/>
              </w:rPr>
              <w:t>Age</w:t>
            </w:r>
          </w:p>
        </w:tc>
        <w:tc>
          <w:tcPr>
            <w:tcW w:w="2236" w:type="dxa"/>
          </w:tcPr>
          <w:p w14:paraId="4E144658" w14:textId="4483CBE7" w:rsidR="00F72122" w:rsidRPr="004545A3" w:rsidRDefault="00F72122" w:rsidP="00F72122">
            <w:pPr>
              <w:rPr>
                <w:rFonts w:cstheme="minorHAnsi"/>
              </w:rPr>
            </w:pPr>
            <w:r>
              <w:rPr>
                <w:rFonts w:cstheme="minorHAnsi"/>
              </w:rPr>
              <w:t>No known negative impact</w:t>
            </w:r>
          </w:p>
        </w:tc>
        <w:tc>
          <w:tcPr>
            <w:tcW w:w="2266" w:type="dxa"/>
          </w:tcPr>
          <w:p w14:paraId="7ADB8E22" w14:textId="0F32388F" w:rsidR="00F72122" w:rsidRPr="004545A3" w:rsidRDefault="00F72122" w:rsidP="00F72122">
            <w:pPr>
              <w:rPr>
                <w:rFonts w:cstheme="minorHAnsi"/>
              </w:rPr>
            </w:pPr>
            <w:r>
              <w:rPr>
                <w:rFonts w:cstheme="minorHAnsi"/>
              </w:rPr>
              <w:t>No disclosure of age required for any stage of the process.</w:t>
            </w:r>
          </w:p>
        </w:tc>
        <w:tc>
          <w:tcPr>
            <w:tcW w:w="2250" w:type="dxa"/>
          </w:tcPr>
          <w:p w14:paraId="53E8AB55" w14:textId="0B3C1961" w:rsidR="00F72122" w:rsidRPr="004545A3" w:rsidRDefault="00F72122" w:rsidP="00F72122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S</w:t>
            </w:r>
            <w:r w:rsidRPr="008D4B42">
              <w:rPr>
                <w:rFonts w:cstheme="minorHAnsi"/>
              </w:rPr>
              <w:t xml:space="preserve">tandard EPSRC policies will be followed at all stages of the process.  </w:t>
            </w:r>
          </w:p>
        </w:tc>
      </w:tr>
      <w:tr w:rsidR="00F72122" w:rsidRPr="00322D59" w14:paraId="07BB3485" w14:textId="77777777" w:rsidTr="008E7EE5">
        <w:tc>
          <w:tcPr>
            <w:tcW w:w="2264" w:type="dxa"/>
            <w:shd w:val="clear" w:color="auto" w:fill="C6D9F1" w:themeFill="text2" w:themeFillTint="33"/>
          </w:tcPr>
          <w:p w14:paraId="7C82A710" w14:textId="77777777" w:rsidR="00F72122" w:rsidRPr="00322D59" w:rsidRDefault="00F72122" w:rsidP="00F72122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Additional aspects (not covered by a protected characteristic)</w:t>
            </w:r>
          </w:p>
        </w:tc>
        <w:tc>
          <w:tcPr>
            <w:tcW w:w="2236" w:type="dxa"/>
          </w:tcPr>
          <w:p w14:paraId="14B07F0C" w14:textId="77777777" w:rsidR="00F72122" w:rsidRPr="004545A3" w:rsidRDefault="00F72122" w:rsidP="00F72122">
            <w:pPr>
              <w:rPr>
                <w:rFonts w:cstheme="minorHAnsi"/>
              </w:rPr>
            </w:pPr>
            <w:r>
              <w:rPr>
                <w:rFonts w:cstheme="minorHAnsi"/>
              </w:rPr>
              <w:t>Potential positive impact</w:t>
            </w:r>
          </w:p>
          <w:p w14:paraId="04EF975E" w14:textId="77777777" w:rsidR="00F72122" w:rsidRPr="004545A3" w:rsidRDefault="00F72122" w:rsidP="00F72122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14:paraId="768E95A3" w14:textId="5206B292" w:rsidR="00F72122" w:rsidRPr="004545A3" w:rsidRDefault="00F72122" w:rsidP="00F72122">
            <w:pPr>
              <w:rPr>
                <w:rFonts w:cstheme="minorHAnsi"/>
              </w:rPr>
            </w:pPr>
            <w:r>
              <w:rPr>
                <w:rFonts w:cstheme="minorHAnsi"/>
              </w:rPr>
              <w:t>Potential mitigation of sensory/cognitive overload by holding panel virtually rather than in person (dependent on individual circumstances)</w:t>
            </w:r>
          </w:p>
        </w:tc>
        <w:tc>
          <w:tcPr>
            <w:tcW w:w="2250" w:type="dxa"/>
          </w:tcPr>
          <w:p w14:paraId="570F79A9" w14:textId="59120EB3" w:rsidR="00F72122" w:rsidRPr="004545A3" w:rsidRDefault="00F72122" w:rsidP="00F72122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S</w:t>
            </w:r>
            <w:r w:rsidRPr="008D4B42">
              <w:rPr>
                <w:rFonts w:cstheme="minorHAnsi"/>
              </w:rPr>
              <w:t xml:space="preserve">tandard EPSRC policies will be followed at all stages of the process. </w:t>
            </w:r>
          </w:p>
        </w:tc>
      </w:tr>
    </w:tbl>
    <w:p w14:paraId="33DA89EA" w14:textId="77777777" w:rsidR="00085980" w:rsidRPr="00322D59" w:rsidRDefault="00085980" w:rsidP="00085980">
      <w:pPr>
        <w:spacing w:after="0"/>
        <w:rPr>
          <w:rFonts w:cstheme="minorHAnsi"/>
          <w:b/>
          <w:color w:val="000000" w:themeColor="text1"/>
        </w:rPr>
      </w:pPr>
    </w:p>
    <w:p w14:paraId="61E9A74E" w14:textId="77777777" w:rsidR="00085980" w:rsidRDefault="00085980" w:rsidP="00085980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5BC4383F" w14:textId="77777777" w:rsidR="00085980" w:rsidRDefault="00085980" w:rsidP="00085980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br w:type="page"/>
      </w:r>
    </w:p>
    <w:p w14:paraId="11AEABB8" w14:textId="77777777" w:rsidR="00085980" w:rsidRDefault="00085980" w:rsidP="00085980">
      <w:pPr>
        <w:spacing w:after="0"/>
        <w:rPr>
          <w:rFonts w:cstheme="minorHAnsi"/>
          <w:b/>
          <w:color w:val="000000" w:themeColor="text1"/>
        </w:rPr>
      </w:pPr>
      <w:r w:rsidRPr="00496450">
        <w:rPr>
          <w:rFonts w:cstheme="minorHAnsi"/>
          <w:b/>
          <w:color w:val="000000" w:themeColor="text1"/>
        </w:rPr>
        <w:lastRenderedPageBreak/>
        <w:t xml:space="preserve">Evaluation: </w:t>
      </w:r>
    </w:p>
    <w:p w14:paraId="74FE7BB8" w14:textId="77777777" w:rsidR="00085980" w:rsidRDefault="00085980" w:rsidP="00085980">
      <w:pPr>
        <w:spacing w:after="0"/>
        <w:rPr>
          <w:rFonts w:cstheme="minorHAnsi"/>
          <w:b/>
          <w:color w:val="000000" w:themeColor="text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3889"/>
      </w:tblGrid>
      <w:tr w:rsidR="00085980" w14:paraId="1307D2B4" w14:textId="77777777" w:rsidTr="0012321A">
        <w:tc>
          <w:tcPr>
            <w:tcW w:w="4077" w:type="dxa"/>
            <w:shd w:val="clear" w:color="auto" w:fill="C6D9F1" w:themeFill="text2" w:themeFillTint="33"/>
          </w:tcPr>
          <w:p w14:paraId="61DD45CA" w14:textId="77777777" w:rsidR="00085980" w:rsidRPr="0065601D" w:rsidRDefault="00085980" w:rsidP="00B653E7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Question </w:t>
            </w:r>
          </w:p>
        </w:tc>
        <w:tc>
          <w:tcPr>
            <w:tcW w:w="5165" w:type="dxa"/>
            <w:gridSpan w:val="2"/>
            <w:shd w:val="clear" w:color="auto" w:fill="C6D9F1" w:themeFill="text2" w:themeFillTint="33"/>
          </w:tcPr>
          <w:p w14:paraId="00CB51A5" w14:textId="77777777" w:rsidR="00085980" w:rsidRDefault="00085980" w:rsidP="00B653E7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Explanation / justification</w:t>
            </w:r>
          </w:p>
        </w:tc>
      </w:tr>
      <w:tr w:rsidR="00085980" w14:paraId="2624D058" w14:textId="77777777" w:rsidTr="00B653E7">
        <w:tc>
          <w:tcPr>
            <w:tcW w:w="4077" w:type="dxa"/>
          </w:tcPr>
          <w:p w14:paraId="2E2AF9DE" w14:textId="77777777" w:rsidR="00085980" w:rsidRDefault="00486D41" w:rsidP="00B653E7">
            <w:pPr>
              <w:rPr>
                <w:rFonts w:cstheme="minorHAnsi"/>
                <w:b/>
                <w:color w:val="000000" w:themeColor="text1"/>
              </w:rPr>
            </w:pPr>
            <w:r w:rsidRPr="00486D41">
              <w:rPr>
                <w:color w:val="000000" w:themeColor="text1"/>
              </w:rPr>
              <w:t>Is it possible the proposed change in policy, funding activity or event could discriminate or unfairly disadvantage people?</w:t>
            </w:r>
            <w:r w:rsidRPr="00486D41">
              <w:rPr>
                <w:rFonts w:cstheme="minorHAnsi"/>
                <w:b/>
                <w:color w:val="000000" w:themeColor="text1"/>
              </w:rPr>
              <w:t xml:space="preserve"> </w:t>
            </w:r>
          </w:p>
        </w:tc>
        <w:tc>
          <w:tcPr>
            <w:tcW w:w="5165" w:type="dxa"/>
            <w:gridSpan w:val="2"/>
          </w:tcPr>
          <w:p w14:paraId="1DC4F581" w14:textId="77777777" w:rsidR="00F72122" w:rsidRDefault="00F72122" w:rsidP="00F72122">
            <w:pPr>
              <w:rPr>
                <w:rFonts w:cstheme="minorHAnsi"/>
              </w:rPr>
            </w:pPr>
            <w:r>
              <w:rPr>
                <w:rFonts w:cstheme="minorHAnsi"/>
              </w:rPr>
              <w:t>Several risks and potential biases have been identified that could potentially have a negative impact on both the applicants and the panel, predominantly:</w:t>
            </w:r>
          </w:p>
          <w:p w14:paraId="280B0C0A" w14:textId="77777777" w:rsidR="00F72122" w:rsidRPr="008C313C" w:rsidRDefault="00F72122" w:rsidP="00F72122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8C313C">
              <w:rPr>
                <w:rFonts w:asciiTheme="minorHAnsi" w:hAnsiTheme="minorHAnsi" w:cstheme="minorHAnsi"/>
              </w:rPr>
              <w:t>Disability</w:t>
            </w:r>
          </w:p>
          <w:p w14:paraId="4AD99B9F" w14:textId="77777777" w:rsidR="00F72122" w:rsidRPr="008C313C" w:rsidRDefault="00F72122" w:rsidP="00F72122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 w:rsidRPr="008C313C">
              <w:rPr>
                <w:rFonts w:asciiTheme="minorHAnsi" w:hAnsiTheme="minorHAnsi" w:cstheme="minorHAnsi"/>
              </w:rPr>
              <w:t>Parental or other caring responsibilities</w:t>
            </w:r>
          </w:p>
          <w:p w14:paraId="51E054DF" w14:textId="56D8F37C" w:rsidR="004545A3" w:rsidRPr="004545A3" w:rsidRDefault="00F72122" w:rsidP="00F72122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Several risks and potential biases have been considered when designing the call and have been mitigated as far as possible.</w:t>
            </w:r>
          </w:p>
        </w:tc>
      </w:tr>
      <w:tr w:rsidR="00085980" w14:paraId="454E8B5C" w14:textId="77777777" w:rsidTr="0012321A">
        <w:tc>
          <w:tcPr>
            <w:tcW w:w="4077" w:type="dxa"/>
            <w:shd w:val="clear" w:color="auto" w:fill="C6D9F1" w:themeFill="text2" w:themeFillTint="33"/>
          </w:tcPr>
          <w:p w14:paraId="6D5997EF" w14:textId="77777777" w:rsidR="00085980" w:rsidRDefault="00085980" w:rsidP="00B653E7">
            <w:pPr>
              <w:rPr>
                <w:rFonts w:cstheme="minorHAnsi"/>
                <w:b/>
                <w:color w:val="000000" w:themeColor="text1"/>
              </w:rPr>
            </w:pPr>
            <w:r w:rsidRPr="00B34C4E">
              <w:rPr>
                <w:rFonts w:cstheme="minorHAnsi"/>
                <w:b/>
                <w:color w:val="000000" w:themeColor="text1"/>
              </w:rPr>
              <w:t>Final Decision</w:t>
            </w:r>
            <w:r>
              <w:rPr>
                <w:rFonts w:cstheme="minorHAnsi"/>
                <w:b/>
                <w:color w:val="000000" w:themeColor="text1"/>
              </w:rPr>
              <w:t>:</w:t>
            </w:r>
          </w:p>
          <w:p w14:paraId="21268F1B" w14:textId="77777777" w:rsidR="00085980" w:rsidRPr="00B34C4E" w:rsidRDefault="00085980" w:rsidP="00B653E7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14:paraId="5F4CCC35" w14:textId="77777777" w:rsidR="00085980" w:rsidRDefault="00085980" w:rsidP="00B653E7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Tick the relevant box</w:t>
            </w:r>
          </w:p>
        </w:tc>
        <w:tc>
          <w:tcPr>
            <w:tcW w:w="3889" w:type="dxa"/>
            <w:shd w:val="clear" w:color="auto" w:fill="C6D9F1" w:themeFill="text2" w:themeFillTint="33"/>
          </w:tcPr>
          <w:p w14:paraId="2042FF72" w14:textId="77777777" w:rsidR="00085980" w:rsidRDefault="00085980" w:rsidP="00B653E7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Include any explanation / justification required</w:t>
            </w:r>
          </w:p>
        </w:tc>
      </w:tr>
      <w:tr w:rsidR="00085980" w14:paraId="712756AF" w14:textId="77777777" w:rsidTr="00B653E7">
        <w:tc>
          <w:tcPr>
            <w:tcW w:w="4077" w:type="dxa"/>
          </w:tcPr>
          <w:p w14:paraId="7145252E" w14:textId="77777777" w:rsidR="00085980" w:rsidRPr="00C44F3C" w:rsidRDefault="00085980" w:rsidP="00B653E7">
            <w:pPr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 w:rsidRPr="00496450">
              <w:rPr>
                <w:rFonts w:cstheme="minorHAnsi"/>
                <w:color w:val="000000" w:themeColor="text1"/>
              </w:rPr>
              <w:t xml:space="preserve">No barriers </w:t>
            </w:r>
            <w:proofErr w:type="gramStart"/>
            <w:r w:rsidRPr="00496450">
              <w:rPr>
                <w:rFonts w:cstheme="minorHAnsi"/>
                <w:color w:val="000000" w:themeColor="text1"/>
              </w:rPr>
              <w:t>identified,</w:t>
            </w:r>
            <w:proofErr w:type="gramEnd"/>
            <w:r w:rsidRPr="00496450">
              <w:rPr>
                <w:rFonts w:cstheme="minorHAnsi"/>
                <w:color w:val="000000" w:themeColor="text1"/>
              </w:rPr>
              <w:t xml:space="preserve"> therefore activity will </w:t>
            </w:r>
            <w:r w:rsidRPr="00585DA9">
              <w:rPr>
                <w:rFonts w:cstheme="minorHAnsi"/>
                <w:b/>
                <w:color w:val="000000" w:themeColor="text1"/>
              </w:rPr>
              <w:t>proceed</w:t>
            </w:r>
            <w:r w:rsidRPr="00496450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1276" w:type="dxa"/>
          </w:tcPr>
          <w:p w14:paraId="04B050F9" w14:textId="77777777" w:rsidR="00085980" w:rsidRPr="004545A3" w:rsidRDefault="00085980" w:rsidP="00B653E7">
            <w:pPr>
              <w:rPr>
                <w:rFonts w:cstheme="minorHAnsi"/>
              </w:rPr>
            </w:pPr>
          </w:p>
        </w:tc>
        <w:tc>
          <w:tcPr>
            <w:tcW w:w="3889" w:type="dxa"/>
          </w:tcPr>
          <w:p w14:paraId="7B1F0C49" w14:textId="77777777" w:rsidR="00085980" w:rsidRPr="004545A3" w:rsidRDefault="00085980" w:rsidP="00B653E7">
            <w:pPr>
              <w:rPr>
                <w:rFonts w:cstheme="minorHAnsi"/>
              </w:rPr>
            </w:pPr>
          </w:p>
        </w:tc>
      </w:tr>
      <w:tr w:rsidR="00085980" w14:paraId="7CBEAEB2" w14:textId="77777777" w:rsidTr="00B653E7">
        <w:tc>
          <w:tcPr>
            <w:tcW w:w="4077" w:type="dxa"/>
          </w:tcPr>
          <w:p w14:paraId="0D3575AF" w14:textId="77777777" w:rsidR="00085980" w:rsidRPr="00C44F3C" w:rsidRDefault="00085980" w:rsidP="00B653E7">
            <w:pPr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 w:rsidRPr="00496450">
              <w:rPr>
                <w:rFonts w:cstheme="minorHAnsi"/>
                <w:color w:val="000000" w:themeColor="text1"/>
              </w:rPr>
              <w:t xml:space="preserve">You can decide to </w:t>
            </w:r>
            <w:r w:rsidRPr="00496450">
              <w:rPr>
                <w:rFonts w:cstheme="minorHAnsi"/>
                <w:b/>
                <w:bCs/>
                <w:color w:val="000000" w:themeColor="text1"/>
              </w:rPr>
              <w:t>stop</w:t>
            </w:r>
            <w:r w:rsidRPr="00496450">
              <w:rPr>
                <w:rFonts w:cstheme="minorHAnsi"/>
                <w:color w:val="000000" w:themeColor="text1"/>
              </w:rPr>
              <w:t xml:space="preserve"> the policy or practice at some point because the data shows bias towards one or more groups </w:t>
            </w:r>
          </w:p>
        </w:tc>
        <w:tc>
          <w:tcPr>
            <w:tcW w:w="1276" w:type="dxa"/>
          </w:tcPr>
          <w:p w14:paraId="56F062A9" w14:textId="77777777" w:rsidR="00085980" w:rsidRPr="004545A3" w:rsidRDefault="00085980" w:rsidP="00B653E7">
            <w:pPr>
              <w:rPr>
                <w:rFonts w:cstheme="minorHAnsi"/>
              </w:rPr>
            </w:pPr>
          </w:p>
        </w:tc>
        <w:tc>
          <w:tcPr>
            <w:tcW w:w="3889" w:type="dxa"/>
          </w:tcPr>
          <w:p w14:paraId="5F05CE0D" w14:textId="77777777" w:rsidR="00085980" w:rsidRPr="004545A3" w:rsidRDefault="00085980" w:rsidP="00B653E7">
            <w:pPr>
              <w:rPr>
                <w:rFonts w:cstheme="minorHAnsi"/>
              </w:rPr>
            </w:pPr>
          </w:p>
        </w:tc>
      </w:tr>
      <w:tr w:rsidR="00085980" w14:paraId="77274009" w14:textId="77777777" w:rsidTr="00B653E7">
        <w:tc>
          <w:tcPr>
            <w:tcW w:w="4077" w:type="dxa"/>
          </w:tcPr>
          <w:p w14:paraId="3A40EB09" w14:textId="77777777" w:rsidR="00085980" w:rsidRPr="00C44F3C" w:rsidRDefault="00085980" w:rsidP="00B653E7">
            <w:pPr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 w:rsidRPr="00496450">
              <w:rPr>
                <w:rFonts w:cstheme="minorHAnsi"/>
                <w:color w:val="000000" w:themeColor="text1"/>
              </w:rPr>
              <w:t xml:space="preserve">You can </w:t>
            </w:r>
            <w:r w:rsidRPr="00496450">
              <w:rPr>
                <w:rFonts w:cstheme="minorHAnsi"/>
                <w:b/>
                <w:bCs/>
                <w:color w:val="000000" w:themeColor="text1"/>
              </w:rPr>
              <w:t xml:space="preserve">adapt or change </w:t>
            </w:r>
            <w:r w:rsidRPr="00496450">
              <w:rPr>
                <w:rFonts w:cstheme="minorHAnsi"/>
                <w:color w:val="000000" w:themeColor="text1"/>
              </w:rPr>
              <w:t>the policy in a way which you think will eliminate the bias</w:t>
            </w:r>
          </w:p>
        </w:tc>
        <w:tc>
          <w:tcPr>
            <w:tcW w:w="1276" w:type="dxa"/>
          </w:tcPr>
          <w:p w14:paraId="67858239" w14:textId="4BA554DD" w:rsidR="00085980" w:rsidRPr="004545A3" w:rsidRDefault="00085980" w:rsidP="00B653E7">
            <w:pPr>
              <w:rPr>
                <w:rFonts w:cstheme="minorHAnsi"/>
              </w:rPr>
            </w:pPr>
          </w:p>
        </w:tc>
        <w:tc>
          <w:tcPr>
            <w:tcW w:w="3889" w:type="dxa"/>
          </w:tcPr>
          <w:p w14:paraId="07E1A944" w14:textId="77777777" w:rsidR="00085980" w:rsidRPr="004545A3" w:rsidRDefault="00085980" w:rsidP="00B653E7">
            <w:pPr>
              <w:rPr>
                <w:rFonts w:cstheme="minorHAnsi"/>
              </w:rPr>
            </w:pPr>
          </w:p>
        </w:tc>
      </w:tr>
      <w:tr w:rsidR="00085980" w14:paraId="19F1EC3D" w14:textId="77777777" w:rsidTr="00B653E7">
        <w:tc>
          <w:tcPr>
            <w:tcW w:w="4077" w:type="dxa"/>
          </w:tcPr>
          <w:p w14:paraId="37D08B29" w14:textId="77777777" w:rsidR="00085980" w:rsidRPr="00496450" w:rsidRDefault="00085980" w:rsidP="00B653E7">
            <w:pPr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 w:rsidRPr="00C44F3C">
              <w:rPr>
                <w:rFonts w:cstheme="minorHAnsi"/>
                <w:color w:val="000000" w:themeColor="text1"/>
              </w:rPr>
              <w:t>Barriers and impact identified, however having considered all available options carefully, there appear to be no other proportionate ways to achieve the aim of the policy or practice (</w:t>
            </w:r>
            <w:proofErr w:type="gramStart"/>
            <w:r w:rsidRPr="00C44F3C">
              <w:rPr>
                <w:rFonts w:cstheme="minorHAnsi"/>
                <w:color w:val="000000" w:themeColor="text1"/>
              </w:rPr>
              <w:t>e.g.</w:t>
            </w:r>
            <w:proofErr w:type="gramEnd"/>
            <w:r w:rsidRPr="00C44F3C">
              <w:rPr>
                <w:rFonts w:cstheme="minorHAnsi"/>
                <w:color w:val="000000" w:themeColor="text1"/>
              </w:rPr>
              <w:t xml:space="preserve"> in extreme cases or where positive action is taken). </w:t>
            </w:r>
            <w:proofErr w:type="gramStart"/>
            <w:r w:rsidRPr="00C44F3C">
              <w:rPr>
                <w:rFonts w:cstheme="minorHAnsi"/>
                <w:color w:val="000000" w:themeColor="text1"/>
              </w:rPr>
              <w:t>Therefore</w:t>
            </w:r>
            <w:proofErr w:type="gramEnd"/>
            <w:r w:rsidRPr="00C44F3C">
              <w:rPr>
                <w:rFonts w:cstheme="minorHAnsi"/>
                <w:color w:val="000000" w:themeColor="text1"/>
              </w:rPr>
              <w:t xml:space="preserve"> you are going to </w:t>
            </w:r>
            <w:r w:rsidRPr="00C440BB">
              <w:rPr>
                <w:rFonts w:cstheme="minorHAnsi"/>
                <w:b/>
                <w:color w:val="000000" w:themeColor="text1"/>
              </w:rPr>
              <w:t>proceed</w:t>
            </w:r>
            <w:r>
              <w:rPr>
                <w:rFonts w:cstheme="minorHAnsi"/>
                <w:b/>
                <w:color w:val="000000" w:themeColor="text1"/>
              </w:rPr>
              <w:t xml:space="preserve"> with caution</w:t>
            </w:r>
            <w:r w:rsidRPr="00C44F3C">
              <w:rPr>
                <w:rFonts w:cstheme="minorHAnsi"/>
                <w:color w:val="000000" w:themeColor="text1"/>
              </w:rPr>
              <w:t xml:space="preserve"> with this policy or practice knowing that it may favour some people less than others, providing justification for this decision.</w:t>
            </w:r>
          </w:p>
        </w:tc>
        <w:tc>
          <w:tcPr>
            <w:tcW w:w="1276" w:type="dxa"/>
          </w:tcPr>
          <w:p w14:paraId="56778154" w14:textId="20B59022" w:rsidR="00085980" w:rsidRPr="004545A3" w:rsidRDefault="00F72122" w:rsidP="00B653E7">
            <w:pPr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3889" w:type="dxa"/>
          </w:tcPr>
          <w:p w14:paraId="41A960C3" w14:textId="01A94E5E" w:rsidR="00085980" w:rsidRPr="004545A3" w:rsidRDefault="00F72122" w:rsidP="00B653E7">
            <w:pPr>
              <w:rPr>
                <w:rFonts w:cstheme="minorHAnsi"/>
              </w:rPr>
            </w:pPr>
            <w:r>
              <w:rPr>
                <w:rFonts w:cstheme="minorHAnsi"/>
              </w:rPr>
              <w:t>We have taken steps to mitigate the barriers we have identified, but there is no way to mitigate further given the funding time constraints.</w:t>
            </w:r>
          </w:p>
        </w:tc>
      </w:tr>
    </w:tbl>
    <w:p w14:paraId="71009A01" w14:textId="77777777" w:rsidR="00085980" w:rsidRDefault="00085980" w:rsidP="00085980">
      <w:pPr>
        <w:spacing w:after="0"/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085980" w:rsidRPr="00D10282" w14:paraId="30609DE6" w14:textId="77777777" w:rsidTr="0012321A">
        <w:tc>
          <w:tcPr>
            <w:tcW w:w="4621" w:type="dxa"/>
            <w:shd w:val="clear" w:color="auto" w:fill="C6D9F1" w:themeFill="text2" w:themeFillTint="33"/>
          </w:tcPr>
          <w:p w14:paraId="3F20FAE5" w14:textId="77777777" w:rsidR="00085980" w:rsidRDefault="00085980" w:rsidP="00B653E7">
            <w:pPr>
              <w:rPr>
                <w:rFonts w:cstheme="minorHAnsi"/>
                <w:b/>
                <w:color w:val="000000" w:themeColor="text1"/>
              </w:rPr>
            </w:pPr>
            <w:r w:rsidRPr="000F44F6">
              <w:rPr>
                <w:rFonts w:cstheme="minorHAnsi"/>
                <w:b/>
                <w:color w:val="000000" w:themeColor="text1"/>
              </w:rPr>
              <w:t>Will this EIA be published</w:t>
            </w:r>
            <w:r>
              <w:rPr>
                <w:rFonts w:cstheme="minorHAnsi"/>
                <w:b/>
                <w:color w:val="000000" w:themeColor="text1"/>
              </w:rPr>
              <w:t>* Yes/Not required</w:t>
            </w:r>
          </w:p>
          <w:p w14:paraId="6F45F7A2" w14:textId="77777777" w:rsidR="00085980" w:rsidRPr="00A55355" w:rsidRDefault="00085980" w:rsidP="00B653E7">
            <w:pPr>
              <w:rPr>
                <w:rFonts w:cstheme="minorHAnsi"/>
                <w:color w:val="000000" w:themeColor="text1"/>
              </w:rPr>
            </w:pPr>
            <w:r w:rsidRPr="00A55355">
              <w:rPr>
                <w:rFonts w:cstheme="minorHAnsi"/>
                <w:color w:val="000000" w:themeColor="text1"/>
              </w:rPr>
              <w:t>(*EIA’s should be published alongside relevant funding activities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proofErr w:type="gramStart"/>
            <w:r>
              <w:rPr>
                <w:rFonts w:cstheme="minorHAnsi"/>
                <w:color w:val="000000" w:themeColor="text1"/>
              </w:rPr>
              <w:t>e.g.</w:t>
            </w:r>
            <w:proofErr w:type="gramEnd"/>
            <w:r>
              <w:rPr>
                <w:rFonts w:cstheme="minorHAnsi"/>
                <w:color w:val="000000" w:themeColor="text1"/>
              </w:rPr>
              <w:t xml:space="preserve"> calls</w:t>
            </w:r>
            <w:r w:rsidRPr="00A55355">
              <w:rPr>
                <w:rFonts w:cstheme="minorHAnsi"/>
                <w:color w:val="000000" w:themeColor="text1"/>
              </w:rPr>
              <w:t xml:space="preserve"> and events: </w:t>
            </w:r>
          </w:p>
          <w:p w14:paraId="6A39F6E3" w14:textId="77777777" w:rsidR="00085980" w:rsidRPr="00D10282" w:rsidRDefault="00085980" w:rsidP="00B653E7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4621" w:type="dxa"/>
          </w:tcPr>
          <w:p w14:paraId="4CC1582D" w14:textId="7904A9B5" w:rsidR="00085980" w:rsidRPr="00D10282" w:rsidRDefault="00F72122" w:rsidP="00B653E7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Yes</w:t>
            </w:r>
          </w:p>
        </w:tc>
      </w:tr>
      <w:tr w:rsidR="00085980" w:rsidRPr="00D10282" w14:paraId="54274A7C" w14:textId="77777777" w:rsidTr="0012321A">
        <w:tc>
          <w:tcPr>
            <w:tcW w:w="4621" w:type="dxa"/>
            <w:shd w:val="clear" w:color="auto" w:fill="C6D9F1" w:themeFill="text2" w:themeFillTint="33"/>
          </w:tcPr>
          <w:p w14:paraId="05965B72" w14:textId="77777777" w:rsidR="00085980" w:rsidRPr="00496450" w:rsidRDefault="00085980" w:rsidP="00B653E7">
            <w:pPr>
              <w:rPr>
                <w:rFonts w:cstheme="minorHAnsi"/>
                <w:b/>
                <w:color w:val="000000" w:themeColor="text1"/>
              </w:rPr>
            </w:pPr>
            <w:r w:rsidRPr="00496450">
              <w:rPr>
                <w:rFonts w:cstheme="minorHAnsi"/>
                <w:b/>
                <w:color w:val="000000" w:themeColor="text1"/>
              </w:rPr>
              <w:t xml:space="preserve">Date completed: </w:t>
            </w:r>
          </w:p>
          <w:p w14:paraId="743EE48D" w14:textId="77777777" w:rsidR="00085980" w:rsidRPr="00D10282" w:rsidRDefault="00085980" w:rsidP="00B653E7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4621" w:type="dxa"/>
          </w:tcPr>
          <w:p w14:paraId="2BD2E1A5" w14:textId="135CAE3C" w:rsidR="00085980" w:rsidRPr="00D10282" w:rsidRDefault="00F72122" w:rsidP="00B653E7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23/08/2021</w:t>
            </w:r>
          </w:p>
        </w:tc>
      </w:tr>
      <w:tr w:rsidR="00085980" w:rsidRPr="00D10282" w14:paraId="36272610" w14:textId="77777777" w:rsidTr="0012321A">
        <w:tc>
          <w:tcPr>
            <w:tcW w:w="4621" w:type="dxa"/>
            <w:shd w:val="clear" w:color="auto" w:fill="C6D9F1" w:themeFill="text2" w:themeFillTint="33"/>
          </w:tcPr>
          <w:p w14:paraId="02616532" w14:textId="77777777" w:rsidR="00085980" w:rsidRPr="00496450" w:rsidRDefault="00085980" w:rsidP="00B653E7">
            <w:pPr>
              <w:rPr>
                <w:rFonts w:cstheme="minorHAnsi"/>
                <w:b/>
                <w:color w:val="7F7F7F" w:themeColor="text1" w:themeTint="80"/>
              </w:rPr>
            </w:pPr>
            <w:r w:rsidRPr="00496450">
              <w:rPr>
                <w:rFonts w:cstheme="minorHAnsi"/>
                <w:b/>
                <w:color w:val="000000" w:themeColor="text1"/>
              </w:rPr>
              <w:t xml:space="preserve">Review date </w:t>
            </w:r>
            <w:r w:rsidRPr="00A55355">
              <w:rPr>
                <w:rFonts w:cstheme="minorHAnsi"/>
                <w:color w:val="000000" w:themeColor="text1"/>
              </w:rPr>
              <w:t>(if applicable):</w:t>
            </w:r>
            <w:r w:rsidRPr="00496450"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14:paraId="6D73E316" w14:textId="77777777" w:rsidR="00085980" w:rsidRPr="00D10282" w:rsidRDefault="00085980" w:rsidP="00B653E7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4621" w:type="dxa"/>
          </w:tcPr>
          <w:p w14:paraId="11DBBE7B" w14:textId="77777777" w:rsidR="00085980" w:rsidRPr="00D10282" w:rsidRDefault="00085980" w:rsidP="00B653E7">
            <w:pPr>
              <w:rPr>
                <w:rFonts w:cstheme="minorHAnsi"/>
                <w:b/>
                <w:color w:val="000000" w:themeColor="text1"/>
              </w:rPr>
            </w:pPr>
          </w:p>
        </w:tc>
      </w:tr>
    </w:tbl>
    <w:p w14:paraId="16EC0231" w14:textId="77777777" w:rsidR="0031442F" w:rsidRDefault="0031442F" w:rsidP="00140012">
      <w:pPr>
        <w:spacing w:after="0"/>
        <w:rPr>
          <w:rFonts w:cstheme="minorHAnsi"/>
          <w:b/>
          <w:color w:val="000000" w:themeColor="text1"/>
          <w:sz w:val="24"/>
        </w:rPr>
      </w:pPr>
      <w:bookmarkStart w:id="0" w:name="_Toc486610135"/>
    </w:p>
    <w:p w14:paraId="771CC520" w14:textId="77777777" w:rsidR="00140012" w:rsidRPr="00140012" w:rsidRDefault="00140012" w:rsidP="00140012">
      <w:pPr>
        <w:spacing w:after="0"/>
        <w:rPr>
          <w:rFonts w:cstheme="minorHAnsi"/>
          <w:b/>
          <w:color w:val="000000" w:themeColor="text1"/>
        </w:rPr>
      </w:pPr>
      <w:r w:rsidRPr="00140012">
        <w:rPr>
          <w:rFonts w:cstheme="minorHAnsi"/>
          <w:b/>
          <w:color w:val="000000" w:themeColor="text1"/>
        </w:rPr>
        <w:t>Change log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01"/>
        <w:gridCol w:w="2094"/>
        <w:gridCol w:w="1120"/>
        <w:gridCol w:w="4001"/>
      </w:tblGrid>
      <w:tr w:rsidR="00140012" w:rsidRPr="00140012" w14:paraId="505435EC" w14:textId="77777777" w:rsidTr="00140012">
        <w:trPr>
          <w:cantSplit/>
          <w:tblHeader/>
          <w:jc w:val="center"/>
        </w:trPr>
        <w:tc>
          <w:tcPr>
            <w:tcW w:w="999" w:type="pct"/>
            <w:shd w:val="clear" w:color="auto" w:fill="C6D9F1" w:themeFill="text2" w:themeFillTint="33"/>
          </w:tcPr>
          <w:p w14:paraId="25C346BA" w14:textId="77777777" w:rsidR="00140012" w:rsidRPr="00140012" w:rsidRDefault="00140012" w:rsidP="00140012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40012">
              <w:rPr>
                <w:rFonts w:cstheme="minorHAnsi"/>
                <w:b/>
                <w:color w:val="000000" w:themeColor="text1"/>
              </w:rPr>
              <w:t>Name</w:t>
            </w:r>
          </w:p>
        </w:tc>
        <w:tc>
          <w:tcPr>
            <w:tcW w:w="1161" w:type="pct"/>
            <w:shd w:val="clear" w:color="auto" w:fill="C6D9F1" w:themeFill="text2" w:themeFillTint="33"/>
          </w:tcPr>
          <w:p w14:paraId="4F7D08D7" w14:textId="77777777" w:rsidR="00140012" w:rsidRPr="00140012" w:rsidRDefault="00140012" w:rsidP="00140012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40012">
              <w:rPr>
                <w:rFonts w:cstheme="minorHAnsi"/>
                <w:b/>
                <w:color w:val="000000" w:themeColor="text1"/>
              </w:rPr>
              <w:t>Date</w:t>
            </w:r>
          </w:p>
        </w:tc>
        <w:tc>
          <w:tcPr>
            <w:tcW w:w="621" w:type="pct"/>
            <w:shd w:val="clear" w:color="auto" w:fill="C6D9F1" w:themeFill="text2" w:themeFillTint="33"/>
          </w:tcPr>
          <w:p w14:paraId="0AC8ED96" w14:textId="77777777" w:rsidR="00140012" w:rsidRPr="00140012" w:rsidRDefault="00140012" w:rsidP="00140012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40012">
              <w:rPr>
                <w:rFonts w:cstheme="minorHAnsi"/>
                <w:b/>
                <w:color w:val="000000" w:themeColor="text1"/>
              </w:rPr>
              <w:t>Version</w:t>
            </w:r>
          </w:p>
        </w:tc>
        <w:tc>
          <w:tcPr>
            <w:tcW w:w="2219" w:type="pct"/>
            <w:shd w:val="clear" w:color="auto" w:fill="C6D9F1" w:themeFill="text2" w:themeFillTint="33"/>
          </w:tcPr>
          <w:p w14:paraId="594F3FEC" w14:textId="77777777" w:rsidR="00140012" w:rsidRPr="00140012" w:rsidRDefault="00140012" w:rsidP="00140012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40012">
              <w:rPr>
                <w:rFonts w:cstheme="minorHAnsi"/>
                <w:b/>
                <w:color w:val="000000" w:themeColor="text1"/>
              </w:rPr>
              <w:t>Change</w:t>
            </w:r>
          </w:p>
        </w:tc>
      </w:tr>
      <w:tr w:rsidR="00140012" w:rsidRPr="00140012" w14:paraId="1B76C7D2" w14:textId="77777777" w:rsidTr="00140012">
        <w:trPr>
          <w:cantSplit/>
          <w:jc w:val="center"/>
        </w:trPr>
        <w:tc>
          <w:tcPr>
            <w:tcW w:w="999" w:type="pct"/>
          </w:tcPr>
          <w:p w14:paraId="49A57BDF" w14:textId="02D6EEA6" w:rsidR="00140012" w:rsidRPr="00140012" w:rsidRDefault="00F72122" w:rsidP="0014001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Ruqaiyah Patel</w:t>
            </w:r>
          </w:p>
        </w:tc>
        <w:tc>
          <w:tcPr>
            <w:tcW w:w="1161" w:type="pct"/>
          </w:tcPr>
          <w:p w14:paraId="6C8DEB62" w14:textId="77777777" w:rsidR="00140012" w:rsidRPr="00140012" w:rsidRDefault="00140012" w:rsidP="0014001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40012">
              <w:rPr>
                <w:rFonts w:cstheme="minorHAnsi"/>
                <w:color w:val="000000" w:themeColor="text1"/>
              </w:rPr>
              <w:t>When published</w:t>
            </w:r>
          </w:p>
        </w:tc>
        <w:tc>
          <w:tcPr>
            <w:tcW w:w="621" w:type="pct"/>
          </w:tcPr>
          <w:p w14:paraId="1B8BF27C" w14:textId="77777777" w:rsidR="00140012" w:rsidRPr="00140012" w:rsidRDefault="00140012" w:rsidP="0014001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40012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2219" w:type="pct"/>
          </w:tcPr>
          <w:p w14:paraId="62E23777" w14:textId="77777777" w:rsidR="00140012" w:rsidRPr="00140012" w:rsidRDefault="00140012" w:rsidP="0014001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</w:tbl>
    <w:p w14:paraId="36DC72DF" w14:textId="77777777" w:rsidR="00CC6020" w:rsidRDefault="00CC6020">
      <w:pPr>
        <w:rPr>
          <w:rFonts w:cstheme="minorHAnsi"/>
          <w:b/>
          <w:color w:val="000000" w:themeColor="text1"/>
          <w:sz w:val="24"/>
        </w:rPr>
      </w:pPr>
    </w:p>
    <w:sectPr w:rsidR="00CC6020" w:rsidSect="00FA1C7B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D477B" w14:textId="77777777" w:rsidR="00F93D71" w:rsidRDefault="00F93D71" w:rsidP="000D1683">
      <w:pPr>
        <w:spacing w:after="0" w:line="240" w:lineRule="auto"/>
      </w:pPr>
      <w:r>
        <w:separator/>
      </w:r>
    </w:p>
  </w:endnote>
  <w:endnote w:type="continuationSeparator" w:id="0">
    <w:p w14:paraId="670F29A8" w14:textId="77777777" w:rsidR="00F93D71" w:rsidRDefault="00F93D71" w:rsidP="000D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062E3" w14:textId="77777777" w:rsidR="00F93D71" w:rsidRDefault="00F93D71" w:rsidP="000D1683">
      <w:pPr>
        <w:spacing w:after="0" w:line="240" w:lineRule="auto"/>
      </w:pPr>
      <w:r>
        <w:separator/>
      </w:r>
    </w:p>
  </w:footnote>
  <w:footnote w:type="continuationSeparator" w:id="0">
    <w:p w14:paraId="57204152" w14:textId="77777777" w:rsidR="00F93D71" w:rsidRDefault="00F93D71" w:rsidP="000D1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535D"/>
    <w:multiLevelType w:val="hybridMultilevel"/>
    <w:tmpl w:val="B5589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72BC"/>
    <w:multiLevelType w:val="hybridMultilevel"/>
    <w:tmpl w:val="CBCE45A0"/>
    <w:lvl w:ilvl="0" w:tplc="9A122E5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4E2744"/>
    <w:multiLevelType w:val="hybridMultilevel"/>
    <w:tmpl w:val="4C6074C8"/>
    <w:lvl w:ilvl="0" w:tplc="8C6EE7A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750D3"/>
    <w:multiLevelType w:val="hybridMultilevel"/>
    <w:tmpl w:val="4C6074C8"/>
    <w:lvl w:ilvl="0" w:tplc="8C6EE7A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1956"/>
    <w:multiLevelType w:val="hybridMultilevel"/>
    <w:tmpl w:val="092066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A3FCE"/>
    <w:multiLevelType w:val="hybridMultilevel"/>
    <w:tmpl w:val="F32EF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13739"/>
    <w:multiLevelType w:val="hybridMultilevel"/>
    <w:tmpl w:val="66D0B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521EC"/>
    <w:multiLevelType w:val="hybridMultilevel"/>
    <w:tmpl w:val="B0F64026"/>
    <w:lvl w:ilvl="0" w:tplc="293C3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FAEF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BE4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8C3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200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E03C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1C0E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AC22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1179F9"/>
    <w:multiLevelType w:val="hybridMultilevel"/>
    <w:tmpl w:val="CBCE45A0"/>
    <w:lvl w:ilvl="0" w:tplc="9A122E5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8F5571"/>
    <w:multiLevelType w:val="hybridMultilevel"/>
    <w:tmpl w:val="092066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660C55"/>
    <w:multiLevelType w:val="hybridMultilevel"/>
    <w:tmpl w:val="B802CDE6"/>
    <w:lvl w:ilvl="0" w:tplc="5106C3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743E5"/>
    <w:multiLevelType w:val="hybridMultilevel"/>
    <w:tmpl w:val="4DDC7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30318"/>
    <w:multiLevelType w:val="hybridMultilevel"/>
    <w:tmpl w:val="33943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E1B79"/>
    <w:multiLevelType w:val="hybridMultilevel"/>
    <w:tmpl w:val="52C49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035C3"/>
    <w:multiLevelType w:val="hybridMultilevel"/>
    <w:tmpl w:val="8AD8F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27101"/>
    <w:multiLevelType w:val="hybridMultilevel"/>
    <w:tmpl w:val="26446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70003"/>
    <w:multiLevelType w:val="hybridMultilevel"/>
    <w:tmpl w:val="29422F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A85EC5"/>
    <w:multiLevelType w:val="hybridMultilevel"/>
    <w:tmpl w:val="D6AC4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30C65"/>
    <w:multiLevelType w:val="hybridMultilevel"/>
    <w:tmpl w:val="DA92D752"/>
    <w:lvl w:ilvl="0" w:tplc="7FE051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495B94"/>
    <w:multiLevelType w:val="hybridMultilevel"/>
    <w:tmpl w:val="2460FBD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015D46"/>
    <w:multiLevelType w:val="hybridMultilevel"/>
    <w:tmpl w:val="28A0E3E2"/>
    <w:lvl w:ilvl="0" w:tplc="960E328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116B9C"/>
    <w:multiLevelType w:val="hybridMultilevel"/>
    <w:tmpl w:val="038E9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A57038"/>
    <w:multiLevelType w:val="multilevel"/>
    <w:tmpl w:val="D038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22"/>
  </w:num>
  <w:num w:numId="4">
    <w:abstractNumId w:val="17"/>
  </w:num>
  <w:num w:numId="5">
    <w:abstractNumId w:val="16"/>
  </w:num>
  <w:num w:numId="6">
    <w:abstractNumId w:val="0"/>
  </w:num>
  <w:num w:numId="7">
    <w:abstractNumId w:val="13"/>
  </w:num>
  <w:num w:numId="8">
    <w:abstractNumId w:val="15"/>
  </w:num>
  <w:num w:numId="9">
    <w:abstractNumId w:val="20"/>
  </w:num>
  <w:num w:numId="10">
    <w:abstractNumId w:val="19"/>
  </w:num>
  <w:num w:numId="11">
    <w:abstractNumId w:val="7"/>
  </w:num>
  <w:num w:numId="12">
    <w:abstractNumId w:val="1"/>
  </w:num>
  <w:num w:numId="13">
    <w:abstractNumId w:val="2"/>
  </w:num>
  <w:num w:numId="14">
    <w:abstractNumId w:val="10"/>
  </w:num>
  <w:num w:numId="15">
    <w:abstractNumId w:val="11"/>
  </w:num>
  <w:num w:numId="16">
    <w:abstractNumId w:val="9"/>
  </w:num>
  <w:num w:numId="17">
    <w:abstractNumId w:val="4"/>
  </w:num>
  <w:num w:numId="18">
    <w:abstractNumId w:val="8"/>
  </w:num>
  <w:num w:numId="19">
    <w:abstractNumId w:val="3"/>
  </w:num>
  <w:num w:numId="20">
    <w:abstractNumId w:val="21"/>
  </w:num>
  <w:num w:numId="21">
    <w:abstractNumId w:val="5"/>
  </w:num>
  <w:num w:numId="22">
    <w:abstractNumId w:val="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A66"/>
    <w:rsid w:val="000036B0"/>
    <w:rsid w:val="00026FD7"/>
    <w:rsid w:val="000333FE"/>
    <w:rsid w:val="00042121"/>
    <w:rsid w:val="00044EE5"/>
    <w:rsid w:val="00046702"/>
    <w:rsid w:val="00085980"/>
    <w:rsid w:val="00086838"/>
    <w:rsid w:val="000D1683"/>
    <w:rsid w:val="000E4BEF"/>
    <w:rsid w:val="000F44F6"/>
    <w:rsid w:val="001067FB"/>
    <w:rsid w:val="00114DC2"/>
    <w:rsid w:val="0012321A"/>
    <w:rsid w:val="0013051E"/>
    <w:rsid w:val="00140012"/>
    <w:rsid w:val="00147180"/>
    <w:rsid w:val="00152A89"/>
    <w:rsid w:val="0017557D"/>
    <w:rsid w:val="00185E31"/>
    <w:rsid w:val="001A6058"/>
    <w:rsid w:val="001A6706"/>
    <w:rsid w:val="001B2F53"/>
    <w:rsid w:val="001B64DD"/>
    <w:rsid w:val="001C6A66"/>
    <w:rsid w:val="001D0B61"/>
    <w:rsid w:val="001D10FA"/>
    <w:rsid w:val="001E042B"/>
    <w:rsid w:val="001E6F33"/>
    <w:rsid w:val="00225889"/>
    <w:rsid w:val="00257FA8"/>
    <w:rsid w:val="002621F4"/>
    <w:rsid w:val="00265EC7"/>
    <w:rsid w:val="00272233"/>
    <w:rsid w:val="002777DD"/>
    <w:rsid w:val="00281B4F"/>
    <w:rsid w:val="00287F54"/>
    <w:rsid w:val="002D091D"/>
    <w:rsid w:val="002E31C9"/>
    <w:rsid w:val="002E7989"/>
    <w:rsid w:val="0030084C"/>
    <w:rsid w:val="00304981"/>
    <w:rsid w:val="00312193"/>
    <w:rsid w:val="0031442F"/>
    <w:rsid w:val="003149B2"/>
    <w:rsid w:val="00373BC9"/>
    <w:rsid w:val="003B63D0"/>
    <w:rsid w:val="003C1526"/>
    <w:rsid w:val="0040127F"/>
    <w:rsid w:val="00407CAC"/>
    <w:rsid w:val="00410F84"/>
    <w:rsid w:val="00421A48"/>
    <w:rsid w:val="0042762E"/>
    <w:rsid w:val="004321D1"/>
    <w:rsid w:val="004326A0"/>
    <w:rsid w:val="004545A3"/>
    <w:rsid w:val="0045733D"/>
    <w:rsid w:val="00486D41"/>
    <w:rsid w:val="00490F3C"/>
    <w:rsid w:val="00496450"/>
    <w:rsid w:val="004D08E1"/>
    <w:rsid w:val="004F619C"/>
    <w:rsid w:val="00533BFF"/>
    <w:rsid w:val="005446DD"/>
    <w:rsid w:val="0055034E"/>
    <w:rsid w:val="00551A11"/>
    <w:rsid w:val="00582D7D"/>
    <w:rsid w:val="00585DA9"/>
    <w:rsid w:val="00594183"/>
    <w:rsid w:val="005A118C"/>
    <w:rsid w:val="005D41A4"/>
    <w:rsid w:val="005D7A66"/>
    <w:rsid w:val="005E54B9"/>
    <w:rsid w:val="00605F3D"/>
    <w:rsid w:val="006100AA"/>
    <w:rsid w:val="00613354"/>
    <w:rsid w:val="00614BBF"/>
    <w:rsid w:val="0063518D"/>
    <w:rsid w:val="00640D79"/>
    <w:rsid w:val="00641A5C"/>
    <w:rsid w:val="0065601D"/>
    <w:rsid w:val="00661CA1"/>
    <w:rsid w:val="00664E75"/>
    <w:rsid w:val="006A027C"/>
    <w:rsid w:val="006B450A"/>
    <w:rsid w:val="007101F4"/>
    <w:rsid w:val="00714BF1"/>
    <w:rsid w:val="0078308D"/>
    <w:rsid w:val="00784ECA"/>
    <w:rsid w:val="0078792C"/>
    <w:rsid w:val="007B69F4"/>
    <w:rsid w:val="007C55DF"/>
    <w:rsid w:val="00807410"/>
    <w:rsid w:val="00811008"/>
    <w:rsid w:val="0082058D"/>
    <w:rsid w:val="00833D57"/>
    <w:rsid w:val="00842311"/>
    <w:rsid w:val="008459E9"/>
    <w:rsid w:val="0086287D"/>
    <w:rsid w:val="00875260"/>
    <w:rsid w:val="0087595F"/>
    <w:rsid w:val="008917B8"/>
    <w:rsid w:val="008B5715"/>
    <w:rsid w:val="008B7A3E"/>
    <w:rsid w:val="008C67E8"/>
    <w:rsid w:val="008E68A2"/>
    <w:rsid w:val="008E7EE5"/>
    <w:rsid w:val="00900407"/>
    <w:rsid w:val="00910E5D"/>
    <w:rsid w:val="0094461F"/>
    <w:rsid w:val="00947772"/>
    <w:rsid w:val="00977C69"/>
    <w:rsid w:val="00977FD8"/>
    <w:rsid w:val="009A2149"/>
    <w:rsid w:val="009C03DC"/>
    <w:rsid w:val="009C07BE"/>
    <w:rsid w:val="009E02E6"/>
    <w:rsid w:val="009E7B47"/>
    <w:rsid w:val="009F0254"/>
    <w:rsid w:val="009F201B"/>
    <w:rsid w:val="009F53DB"/>
    <w:rsid w:val="00A0161E"/>
    <w:rsid w:val="00A0447C"/>
    <w:rsid w:val="00A2543C"/>
    <w:rsid w:val="00A254F1"/>
    <w:rsid w:val="00A4217F"/>
    <w:rsid w:val="00A55355"/>
    <w:rsid w:val="00AC13E7"/>
    <w:rsid w:val="00AC6456"/>
    <w:rsid w:val="00AD6056"/>
    <w:rsid w:val="00AE0663"/>
    <w:rsid w:val="00AE1507"/>
    <w:rsid w:val="00AE5CC2"/>
    <w:rsid w:val="00B0751D"/>
    <w:rsid w:val="00B10DBC"/>
    <w:rsid w:val="00B17023"/>
    <w:rsid w:val="00B17DB7"/>
    <w:rsid w:val="00B32C89"/>
    <w:rsid w:val="00B55651"/>
    <w:rsid w:val="00BA6978"/>
    <w:rsid w:val="00BC0BD1"/>
    <w:rsid w:val="00BC2455"/>
    <w:rsid w:val="00BD2B02"/>
    <w:rsid w:val="00BD73DA"/>
    <w:rsid w:val="00BD7E49"/>
    <w:rsid w:val="00BE0AB8"/>
    <w:rsid w:val="00BF0D40"/>
    <w:rsid w:val="00C22A44"/>
    <w:rsid w:val="00C40435"/>
    <w:rsid w:val="00C44F3C"/>
    <w:rsid w:val="00C66FE5"/>
    <w:rsid w:val="00C85D0E"/>
    <w:rsid w:val="00CB4C60"/>
    <w:rsid w:val="00CC1C2F"/>
    <w:rsid w:val="00CC6020"/>
    <w:rsid w:val="00CD13EF"/>
    <w:rsid w:val="00CD76C2"/>
    <w:rsid w:val="00D111AC"/>
    <w:rsid w:val="00D125C9"/>
    <w:rsid w:val="00D16014"/>
    <w:rsid w:val="00D16AAB"/>
    <w:rsid w:val="00D2001D"/>
    <w:rsid w:val="00D66CE3"/>
    <w:rsid w:val="00D77F7E"/>
    <w:rsid w:val="00D87CBC"/>
    <w:rsid w:val="00D96598"/>
    <w:rsid w:val="00DB03E7"/>
    <w:rsid w:val="00DB15C3"/>
    <w:rsid w:val="00DD30EB"/>
    <w:rsid w:val="00DF3407"/>
    <w:rsid w:val="00E17276"/>
    <w:rsid w:val="00E4117F"/>
    <w:rsid w:val="00E437BE"/>
    <w:rsid w:val="00E50DF2"/>
    <w:rsid w:val="00E53A75"/>
    <w:rsid w:val="00E67BAC"/>
    <w:rsid w:val="00E703BC"/>
    <w:rsid w:val="00E71408"/>
    <w:rsid w:val="00E7543E"/>
    <w:rsid w:val="00E800A6"/>
    <w:rsid w:val="00EB18B8"/>
    <w:rsid w:val="00EB7CF0"/>
    <w:rsid w:val="00EC0C58"/>
    <w:rsid w:val="00EF510D"/>
    <w:rsid w:val="00EF628A"/>
    <w:rsid w:val="00EF72B3"/>
    <w:rsid w:val="00F202E6"/>
    <w:rsid w:val="00F24022"/>
    <w:rsid w:val="00F27B0F"/>
    <w:rsid w:val="00F4288A"/>
    <w:rsid w:val="00F72122"/>
    <w:rsid w:val="00F7750A"/>
    <w:rsid w:val="00F93D71"/>
    <w:rsid w:val="00FA1C7B"/>
    <w:rsid w:val="00FC60DF"/>
    <w:rsid w:val="00FF3ABB"/>
    <w:rsid w:val="00FF42DC"/>
    <w:rsid w:val="00FF7296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4923D"/>
  <w15:docId w15:val="{1F97E458-DD97-4324-AB01-14B71D60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0DF"/>
    <w:pPr>
      <w:spacing w:line="240" w:lineRule="auto"/>
      <w:ind w:left="720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semiHidden/>
    <w:unhideWhenUsed/>
    <w:rsid w:val="00E80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FF3A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07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B0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7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70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7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02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2762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16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16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168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87F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5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2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73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psrc.ukri.org/funding/applicationprocess/basics/caringresponsibilitie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psrc.ukri.org/links/councils/uk-research-and-innovation-ukri/diversity-ukr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29F3C2262CC408E829632B810EC5D" ma:contentTypeVersion="3" ma:contentTypeDescription="Create a new document." ma:contentTypeScope="" ma:versionID="f8802da5e60518c901ab152571325e51">
  <xsd:schema xmlns:xsd="http://www.w3.org/2001/XMLSchema" xmlns:xs="http://www.w3.org/2001/XMLSchema" xmlns:p="http://schemas.microsoft.com/office/2006/metadata/properties" xmlns:ns2="3dc49c58-8d77-4f6d-83f2-6ae1d701eb7f" targetNamespace="http://schemas.microsoft.com/office/2006/metadata/properties" ma:root="true" ma:fieldsID="4fec976a840db4bc42fbada911eed662" ns2:_="">
    <xsd:import namespace="3dc49c58-8d77-4f6d-83f2-6ae1d701eb7f"/>
    <xsd:element name="properties">
      <xsd:complexType>
        <xsd:sequence>
          <xsd:element name="documentManagement">
            <xsd:complexType>
              <xsd:all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49c58-8d77-4f6d-83f2-6ae1d701eb7f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3dc49c58-8d77-4f6d-83f2-6ae1d701eb7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F6994-0C01-419B-8B68-469ABDD51F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49146A-2034-4805-B699-036A16131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49c58-8d77-4f6d-83f2-6ae1d701e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9396D4-4CDC-4F17-9621-7C6F90189CB8}">
  <ds:schemaRefs>
    <ds:schemaRef ds:uri="http://schemas.microsoft.com/office/2006/metadata/properties"/>
    <ds:schemaRef ds:uri="http://schemas.microsoft.com/office/infopath/2007/PartnerControls"/>
    <ds:schemaRef ds:uri="3dc49c58-8d77-4f6d-83f2-6ae1d701eb7f"/>
  </ds:schemaRefs>
</ds:datastoreItem>
</file>

<file path=customXml/itemProps4.xml><?xml version="1.0" encoding="utf-8"?>
<ds:datastoreItem xmlns:ds="http://schemas.openxmlformats.org/officeDocument/2006/customXml" ds:itemID="{59AB14B6-C68A-49D0-8709-F3B21B5DB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EQUALITY IMPACT ASSESSMENT</vt:lpstr>
    </vt:vector>
  </TitlesOfParts>
  <Company>RCUK SSC Ltd</Company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IMPACT ASSESSMENT</dc:title>
  <dc:creator>Ruqaiyah Patel - UKRI EPSRC</dc:creator>
  <cp:lastModifiedBy>Ruqaiyah Patel - EPSRC UKRI</cp:lastModifiedBy>
  <cp:revision>2</cp:revision>
  <cp:lastPrinted>2017-07-13T07:15:00Z</cp:lastPrinted>
  <dcterms:created xsi:type="dcterms:W3CDTF">2021-08-23T14:32:00Z</dcterms:created>
  <dcterms:modified xsi:type="dcterms:W3CDTF">2021-08-23T16:52:00Z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0x01010031629F3C2262CC408E829632B810EC5D</vt:lpwstr>
  </property>
</Properties>
</file>