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99D6" w14:textId="30AFF8ED" w:rsidR="000D1683" w:rsidRPr="00BF0D40" w:rsidRDefault="000D1683" w:rsidP="008459E9">
      <w:pPr>
        <w:spacing w:after="0" w:line="240" w:lineRule="auto"/>
        <w:jc w:val="center"/>
        <w:rPr>
          <w:rFonts w:cstheme="minorHAnsi"/>
          <w:b/>
          <w:color w:val="000000" w:themeColor="text1"/>
          <w:sz w:val="28"/>
          <w:szCs w:val="24"/>
        </w:rPr>
      </w:pPr>
      <w:r w:rsidRPr="00BF0D40">
        <w:rPr>
          <w:rFonts w:cstheme="minorHAnsi"/>
          <w:b/>
          <w:color w:val="000000" w:themeColor="text1"/>
          <w:sz w:val="28"/>
          <w:szCs w:val="24"/>
        </w:rPr>
        <w:t>Equality Impact Assessment</w:t>
      </w:r>
      <w:r w:rsidR="00EC0C58">
        <w:rPr>
          <w:rFonts w:cstheme="minorHAnsi"/>
          <w:b/>
          <w:color w:val="000000" w:themeColor="text1"/>
          <w:sz w:val="28"/>
          <w:szCs w:val="24"/>
        </w:rPr>
        <w:t xml:space="preserve"> </w:t>
      </w:r>
      <w:r w:rsidR="007737D8">
        <w:rPr>
          <w:rFonts w:cstheme="minorHAnsi"/>
          <w:b/>
          <w:color w:val="000000" w:themeColor="text1"/>
          <w:sz w:val="28"/>
          <w:szCs w:val="24"/>
        </w:rPr>
        <w:t>(EIA)</w:t>
      </w:r>
    </w:p>
    <w:p w14:paraId="618F99D7" w14:textId="77777777" w:rsidR="00BF0D40" w:rsidRDefault="00BF0D40" w:rsidP="008459E9">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2405"/>
        <w:gridCol w:w="6611"/>
      </w:tblGrid>
      <w:tr w:rsidR="00085980" w:rsidRPr="00322D59" w14:paraId="618F9A14" w14:textId="77777777" w:rsidTr="00667739">
        <w:tc>
          <w:tcPr>
            <w:tcW w:w="2405" w:type="dxa"/>
            <w:shd w:val="clear" w:color="auto" w:fill="C6D9F1" w:themeFill="text2" w:themeFillTint="33"/>
          </w:tcPr>
          <w:p w14:paraId="618F9A12" w14:textId="77777777" w:rsidR="00085980" w:rsidRPr="00322D59" w:rsidRDefault="00085980" w:rsidP="00B653E7">
            <w:pPr>
              <w:pStyle w:val="ListParagraph"/>
              <w:ind w:left="360"/>
              <w:rPr>
                <w:rFonts w:asciiTheme="minorHAnsi" w:hAnsiTheme="minorHAnsi" w:cstheme="minorHAnsi"/>
                <w:b/>
                <w:color w:val="000000" w:themeColor="text1"/>
              </w:rPr>
            </w:pPr>
            <w:r w:rsidRPr="00322D59">
              <w:rPr>
                <w:rFonts w:asciiTheme="minorHAnsi" w:hAnsiTheme="minorHAnsi" w:cstheme="minorHAnsi"/>
                <w:b/>
                <w:color w:val="000000" w:themeColor="text1"/>
              </w:rPr>
              <w:t>Question</w:t>
            </w:r>
          </w:p>
        </w:tc>
        <w:tc>
          <w:tcPr>
            <w:tcW w:w="6611" w:type="dxa"/>
            <w:shd w:val="clear" w:color="auto" w:fill="C6D9F1" w:themeFill="text2" w:themeFillTint="33"/>
          </w:tcPr>
          <w:p w14:paraId="618F9A13" w14:textId="77777777" w:rsidR="00085980" w:rsidRPr="00322D59" w:rsidRDefault="00085980" w:rsidP="00B653E7">
            <w:pPr>
              <w:rPr>
                <w:rFonts w:cstheme="minorHAnsi"/>
                <w:b/>
                <w:color w:val="000000" w:themeColor="text1"/>
              </w:rPr>
            </w:pPr>
            <w:r>
              <w:rPr>
                <w:rFonts w:cstheme="minorHAnsi"/>
                <w:b/>
                <w:color w:val="000000" w:themeColor="text1"/>
              </w:rPr>
              <w:t>Response</w:t>
            </w:r>
          </w:p>
        </w:tc>
      </w:tr>
      <w:tr w:rsidR="00085980" w:rsidRPr="00322D59" w14:paraId="618F9A18" w14:textId="77777777" w:rsidTr="00667739">
        <w:trPr>
          <w:trHeight w:val="768"/>
        </w:trPr>
        <w:tc>
          <w:tcPr>
            <w:tcW w:w="2405" w:type="dxa"/>
            <w:shd w:val="clear" w:color="auto" w:fill="C6D9F1" w:themeFill="text2" w:themeFillTint="33"/>
          </w:tcPr>
          <w:p w14:paraId="618F9A15" w14:textId="77777777" w:rsidR="00085980" w:rsidRPr="00322D59" w:rsidRDefault="0086287D" w:rsidP="00B653E7">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Name of 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sidR="00085980" w:rsidRPr="00322D59">
              <w:rPr>
                <w:rFonts w:asciiTheme="minorHAnsi" w:hAnsiTheme="minorHAnsi" w:cstheme="minorHAnsi"/>
                <w:b/>
                <w:color w:val="000000" w:themeColor="text1"/>
              </w:rPr>
              <w:t xml:space="preserve"> being assessed</w:t>
            </w:r>
          </w:p>
          <w:p w14:paraId="618F9A16" w14:textId="77777777" w:rsidR="00085980" w:rsidRPr="00322D59" w:rsidRDefault="00085980" w:rsidP="00B653E7">
            <w:pPr>
              <w:rPr>
                <w:rFonts w:cstheme="minorHAnsi"/>
                <w:b/>
                <w:color w:val="000000" w:themeColor="text1"/>
              </w:rPr>
            </w:pPr>
          </w:p>
        </w:tc>
        <w:tc>
          <w:tcPr>
            <w:tcW w:w="6611" w:type="dxa"/>
          </w:tcPr>
          <w:p w14:paraId="618F9A17" w14:textId="3668FDBC" w:rsidR="00085980" w:rsidRPr="007737D8" w:rsidRDefault="00667739" w:rsidP="00B653E7">
            <w:pPr>
              <w:rPr>
                <w:rFonts w:cstheme="minorHAnsi"/>
                <w:sz w:val="28"/>
                <w:szCs w:val="28"/>
              </w:rPr>
            </w:pPr>
            <w:r w:rsidRPr="007737D8">
              <w:rPr>
                <w:bCs/>
                <w:sz w:val="28"/>
                <w:szCs w:val="28"/>
              </w:rPr>
              <w:t xml:space="preserve">UKRI Innovation Scholars Programme: A pilot AHRC call to fund R&amp;I secondments in </w:t>
            </w:r>
            <w:r w:rsidR="00BA69E7">
              <w:rPr>
                <w:bCs/>
                <w:sz w:val="28"/>
                <w:szCs w:val="28"/>
              </w:rPr>
              <w:t>a</w:t>
            </w:r>
            <w:r w:rsidRPr="007737D8">
              <w:rPr>
                <w:bCs/>
                <w:sz w:val="28"/>
                <w:szCs w:val="28"/>
              </w:rPr>
              <w:t xml:space="preserve">rchitecture and </w:t>
            </w:r>
            <w:r w:rsidR="00BA69E7">
              <w:rPr>
                <w:bCs/>
                <w:sz w:val="28"/>
                <w:szCs w:val="28"/>
              </w:rPr>
              <w:t>d</w:t>
            </w:r>
            <w:r w:rsidRPr="007737D8">
              <w:rPr>
                <w:bCs/>
                <w:sz w:val="28"/>
                <w:szCs w:val="28"/>
              </w:rPr>
              <w:t>esign</w:t>
            </w:r>
          </w:p>
        </w:tc>
      </w:tr>
      <w:tr w:rsidR="00085980" w:rsidRPr="00322D59" w14:paraId="618F9A1C" w14:textId="77777777" w:rsidTr="00667739">
        <w:tc>
          <w:tcPr>
            <w:tcW w:w="2405" w:type="dxa"/>
            <w:shd w:val="clear" w:color="auto" w:fill="C6D9F1" w:themeFill="text2" w:themeFillTint="33"/>
          </w:tcPr>
          <w:p w14:paraId="618F9A19"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Summary of aims and objectives of the policy/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p>
          <w:p w14:paraId="618F9A1A"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6611" w:type="dxa"/>
          </w:tcPr>
          <w:p w14:paraId="3FA754E7" w14:textId="5F24A1A7" w:rsidR="00085980" w:rsidRPr="00667739" w:rsidRDefault="00667739" w:rsidP="00667739">
            <w:pPr>
              <w:autoSpaceDE w:val="0"/>
              <w:autoSpaceDN w:val="0"/>
              <w:adjustRightInd w:val="0"/>
              <w:rPr>
                <w:rFonts w:cstheme="minorHAnsi"/>
              </w:rPr>
            </w:pPr>
            <w:r w:rsidRPr="00667739">
              <w:rPr>
                <w:rFonts w:cstheme="minorHAnsi"/>
                <w:b/>
                <w:bCs/>
              </w:rPr>
              <w:t>Overall purpose:</w:t>
            </w:r>
            <w:r w:rsidRPr="00667739">
              <w:rPr>
                <w:rFonts w:cstheme="minorHAnsi"/>
              </w:rPr>
              <w:t xml:space="preserve"> To support skills development and knowledge exchange between academia and industry, public and third sector in two Creative Industries disciplines – </w:t>
            </w:r>
            <w:r w:rsidR="00BA69E7">
              <w:rPr>
                <w:rFonts w:cstheme="minorHAnsi"/>
              </w:rPr>
              <w:t>a</w:t>
            </w:r>
            <w:r w:rsidRPr="00667739">
              <w:rPr>
                <w:rFonts w:cstheme="minorHAnsi"/>
              </w:rPr>
              <w:t xml:space="preserve">rchitecture and </w:t>
            </w:r>
            <w:r w:rsidR="00BA69E7">
              <w:rPr>
                <w:rFonts w:cstheme="minorHAnsi"/>
              </w:rPr>
              <w:t>d</w:t>
            </w:r>
            <w:r w:rsidRPr="00667739">
              <w:rPr>
                <w:rFonts w:cstheme="minorHAnsi"/>
              </w:rPr>
              <w:t>esign, through funding individual secondments focused on research and innovation with a complementary series of networking events.</w:t>
            </w:r>
          </w:p>
          <w:p w14:paraId="14CA7717" w14:textId="3F4A40D5" w:rsidR="00667739" w:rsidRPr="00667739" w:rsidRDefault="00667739" w:rsidP="00667739">
            <w:pPr>
              <w:autoSpaceDE w:val="0"/>
              <w:autoSpaceDN w:val="0"/>
              <w:adjustRightInd w:val="0"/>
              <w:rPr>
                <w:rFonts w:cstheme="minorHAnsi"/>
                <w:b/>
                <w:bCs/>
              </w:rPr>
            </w:pPr>
            <w:r w:rsidRPr="00667739">
              <w:rPr>
                <w:rFonts w:cstheme="minorHAnsi"/>
                <w:b/>
                <w:bCs/>
              </w:rPr>
              <w:t>Objectives of the call:</w:t>
            </w:r>
          </w:p>
          <w:p w14:paraId="60A4B837" w14:textId="77777777" w:rsidR="00667739" w:rsidRPr="00667739" w:rsidRDefault="00667739" w:rsidP="00667739">
            <w:pPr>
              <w:autoSpaceDE w:val="0"/>
              <w:autoSpaceDN w:val="0"/>
              <w:adjustRightInd w:val="0"/>
              <w:rPr>
                <w:rFonts w:cstheme="minorHAnsi"/>
              </w:rPr>
            </w:pPr>
            <w:r w:rsidRPr="00667739">
              <w:rPr>
                <w:rFonts w:cstheme="minorHAnsi"/>
              </w:rPr>
              <w:t>1. Create porosity between sectors by enabling career mobility.</w:t>
            </w:r>
          </w:p>
          <w:p w14:paraId="390FE99C" w14:textId="77777777" w:rsidR="00667739" w:rsidRPr="00667739" w:rsidRDefault="00667739" w:rsidP="00667739">
            <w:pPr>
              <w:autoSpaceDE w:val="0"/>
              <w:autoSpaceDN w:val="0"/>
              <w:adjustRightInd w:val="0"/>
              <w:rPr>
                <w:rFonts w:cstheme="minorHAnsi"/>
              </w:rPr>
            </w:pPr>
            <w:r w:rsidRPr="00667739">
              <w:rPr>
                <w:rFonts w:cstheme="minorHAnsi"/>
              </w:rPr>
              <w:t>2. Boost the skills, knowledge, networking opportunities and therefore career development of secondees.</w:t>
            </w:r>
          </w:p>
          <w:p w14:paraId="443456C0" w14:textId="77777777" w:rsidR="00667739" w:rsidRPr="00667739" w:rsidRDefault="00667739" w:rsidP="00667739">
            <w:pPr>
              <w:autoSpaceDE w:val="0"/>
              <w:autoSpaceDN w:val="0"/>
              <w:adjustRightInd w:val="0"/>
              <w:rPr>
                <w:rFonts w:cstheme="minorHAnsi"/>
              </w:rPr>
            </w:pPr>
            <w:r w:rsidRPr="00667739">
              <w:rPr>
                <w:rFonts w:cstheme="minorHAnsi"/>
              </w:rPr>
              <w:t>3. Intensify knowledge exchange between different sectors, resulting in innovative outputs.</w:t>
            </w:r>
          </w:p>
          <w:p w14:paraId="618F9A1B" w14:textId="75F887EE" w:rsidR="00667739" w:rsidRPr="00667739" w:rsidRDefault="00667739" w:rsidP="00667739">
            <w:pPr>
              <w:autoSpaceDE w:val="0"/>
              <w:autoSpaceDN w:val="0"/>
              <w:adjustRightInd w:val="0"/>
              <w:rPr>
                <w:rFonts w:cstheme="minorHAnsi"/>
                <w:color w:val="7F7F7F" w:themeColor="text1" w:themeTint="80"/>
              </w:rPr>
            </w:pPr>
            <w:r w:rsidRPr="00667739">
              <w:rPr>
                <w:rFonts w:cstheme="minorHAnsi"/>
              </w:rPr>
              <w:t xml:space="preserve">4. Add value to the </w:t>
            </w:r>
            <w:r w:rsidR="00BA69E7">
              <w:rPr>
                <w:rFonts w:cstheme="minorHAnsi"/>
              </w:rPr>
              <w:t>a</w:t>
            </w:r>
            <w:r w:rsidRPr="00667739">
              <w:rPr>
                <w:rFonts w:cstheme="minorHAnsi"/>
              </w:rPr>
              <w:t xml:space="preserve">rchitecture and </w:t>
            </w:r>
            <w:r w:rsidR="00BA69E7">
              <w:rPr>
                <w:rFonts w:cstheme="minorHAnsi"/>
              </w:rPr>
              <w:t>d</w:t>
            </w:r>
            <w:r w:rsidRPr="00667739">
              <w:rPr>
                <w:rFonts w:cstheme="minorHAnsi"/>
              </w:rPr>
              <w:t>esign sectors and the UK economy.</w:t>
            </w:r>
          </w:p>
        </w:tc>
      </w:tr>
      <w:tr w:rsidR="00085980" w:rsidRPr="00322D59" w14:paraId="618F9A20" w14:textId="77777777" w:rsidTr="00667739">
        <w:tc>
          <w:tcPr>
            <w:tcW w:w="2405" w:type="dxa"/>
            <w:shd w:val="clear" w:color="auto" w:fill="C6D9F1" w:themeFill="text2" w:themeFillTint="33"/>
          </w:tcPr>
          <w:p w14:paraId="618F9A1D" w14:textId="0F93B0D9"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What involvement and consultation has been done in relation to this</w:t>
            </w:r>
            <w:r w:rsidR="00880847">
              <w:rPr>
                <w:rFonts w:asciiTheme="minorHAnsi" w:hAnsiTheme="minorHAnsi" w:cstheme="minorHAnsi"/>
                <w:b/>
                <w:color w:val="000000" w:themeColor="text1"/>
              </w:rPr>
              <w:t xml:space="preserve"> </w:t>
            </w:r>
            <w:r w:rsidR="000D4627">
              <w:rPr>
                <w:rFonts w:asciiTheme="minorHAnsi" w:hAnsiTheme="minorHAnsi" w:cstheme="minorHAnsi"/>
                <w:b/>
                <w:color w:val="000000" w:themeColor="text1"/>
              </w:rPr>
              <w:t>event/</w:t>
            </w:r>
            <w:proofErr w:type="gramStart"/>
            <w:r w:rsidR="000D4627">
              <w:rPr>
                <w:rFonts w:asciiTheme="minorHAnsi" w:hAnsiTheme="minorHAnsi" w:cstheme="minorHAnsi"/>
                <w:b/>
                <w:color w:val="000000" w:themeColor="text1"/>
              </w:rPr>
              <w:t xml:space="preserve">study </w:t>
            </w:r>
            <w:r w:rsidRPr="00322D59">
              <w:rPr>
                <w:rFonts w:asciiTheme="minorHAnsi" w:hAnsiTheme="minorHAnsi" w:cstheme="minorHAnsi"/>
                <w:b/>
                <w:color w:val="000000" w:themeColor="text1"/>
              </w:rPr>
              <w:t>?</w:t>
            </w:r>
            <w:proofErr w:type="gramEnd"/>
            <w:r w:rsidRPr="00322D59">
              <w:rPr>
                <w:rFonts w:asciiTheme="minorHAnsi" w:hAnsiTheme="minorHAnsi" w:cstheme="minorHAnsi"/>
                <w:b/>
                <w:color w:val="000000" w:themeColor="text1"/>
              </w:rPr>
              <w:t xml:space="preserve"> </w:t>
            </w:r>
            <w:r w:rsidRPr="00322D59">
              <w:rPr>
                <w:rFonts w:asciiTheme="minorHAnsi" w:hAnsiTheme="minorHAnsi" w:cstheme="minorHAnsi"/>
                <w:i/>
                <w:color w:val="000000" w:themeColor="text1"/>
              </w:rPr>
              <w:t>(</w:t>
            </w:r>
            <w:proofErr w:type="gramStart"/>
            <w:r w:rsidRPr="00322D59">
              <w:rPr>
                <w:rFonts w:asciiTheme="minorHAnsi" w:hAnsiTheme="minorHAnsi" w:cstheme="minorHAnsi"/>
                <w:i/>
                <w:color w:val="000000" w:themeColor="text1"/>
              </w:rPr>
              <w:t>e.g.</w:t>
            </w:r>
            <w:proofErr w:type="gramEnd"/>
            <w:r w:rsidRPr="00322D59">
              <w:rPr>
                <w:rFonts w:asciiTheme="minorHAnsi" w:hAnsiTheme="minorHAnsi" w:cstheme="minorHAnsi"/>
                <w:i/>
                <w:color w:val="000000" w:themeColor="text1"/>
              </w:rPr>
              <w:t xml:space="preserve"> with relevant </w:t>
            </w:r>
            <w:r>
              <w:rPr>
                <w:rFonts w:asciiTheme="minorHAnsi" w:hAnsiTheme="minorHAnsi" w:cstheme="minorHAnsi"/>
                <w:i/>
                <w:color w:val="000000" w:themeColor="text1"/>
              </w:rPr>
              <w:t xml:space="preserve">groups and </w:t>
            </w:r>
            <w:r w:rsidRPr="00322D59">
              <w:rPr>
                <w:rFonts w:asciiTheme="minorHAnsi" w:hAnsiTheme="minorHAnsi" w:cstheme="minorHAnsi"/>
                <w:i/>
                <w:color w:val="000000" w:themeColor="text1"/>
              </w:rPr>
              <w:t>stakeholders)</w:t>
            </w:r>
          </w:p>
          <w:p w14:paraId="618F9A1E" w14:textId="77777777" w:rsidR="00085980" w:rsidRPr="004326A0" w:rsidRDefault="00085980" w:rsidP="00B653E7">
            <w:pPr>
              <w:rPr>
                <w:rFonts w:cstheme="minorHAnsi"/>
                <w:b/>
                <w:color w:val="000000" w:themeColor="text1"/>
              </w:rPr>
            </w:pPr>
          </w:p>
        </w:tc>
        <w:tc>
          <w:tcPr>
            <w:tcW w:w="6611" w:type="dxa"/>
          </w:tcPr>
          <w:p w14:paraId="51165885" w14:textId="1CCB9D7A" w:rsidR="00D475D8" w:rsidRPr="009D51FE" w:rsidRDefault="004A56A8" w:rsidP="009D51FE">
            <w:pPr>
              <w:autoSpaceDE w:val="0"/>
              <w:autoSpaceDN w:val="0"/>
              <w:adjustRightInd w:val="0"/>
              <w:rPr>
                <w:rFonts w:cstheme="minorHAnsi"/>
              </w:rPr>
            </w:pPr>
            <w:r>
              <w:rPr>
                <w:rFonts w:cstheme="minorHAnsi"/>
              </w:rPr>
              <w:t>The following consultations have taken place in relation to</w:t>
            </w:r>
            <w:r w:rsidR="00667739">
              <w:rPr>
                <w:rFonts w:cstheme="minorHAnsi"/>
              </w:rPr>
              <w:t xml:space="preserve"> designing</w:t>
            </w:r>
            <w:r>
              <w:rPr>
                <w:rFonts w:cstheme="minorHAnsi"/>
              </w:rPr>
              <w:t xml:space="preserve"> this </w:t>
            </w:r>
            <w:r w:rsidR="00426F3A">
              <w:rPr>
                <w:rFonts w:cstheme="minorHAnsi"/>
              </w:rPr>
              <w:t>call</w:t>
            </w:r>
            <w:r>
              <w:rPr>
                <w:rFonts w:cstheme="minorHAnsi"/>
              </w:rPr>
              <w:t xml:space="preserve">: </w:t>
            </w:r>
            <w:r w:rsidR="005C7B48" w:rsidRPr="009D51FE">
              <w:rPr>
                <w:rFonts w:cstheme="minorHAnsi"/>
              </w:rPr>
              <w:t xml:space="preserve"> </w:t>
            </w:r>
          </w:p>
          <w:p w14:paraId="22B78DBC" w14:textId="77A57AB7" w:rsidR="00426F3A" w:rsidRDefault="00426F3A" w:rsidP="00D475D8">
            <w:pPr>
              <w:pStyle w:val="ListParagraph"/>
              <w:numPr>
                <w:ilvl w:val="0"/>
                <w:numId w:val="22"/>
              </w:numPr>
              <w:autoSpaceDE w:val="0"/>
              <w:autoSpaceDN w:val="0"/>
              <w:adjustRightInd w:val="0"/>
              <w:rPr>
                <w:rFonts w:asciiTheme="minorHAnsi" w:hAnsiTheme="minorHAnsi" w:cstheme="minorHAnsi"/>
              </w:rPr>
            </w:pPr>
            <w:r w:rsidRPr="00D475D8">
              <w:rPr>
                <w:rFonts w:asciiTheme="minorHAnsi" w:hAnsiTheme="minorHAnsi" w:cstheme="minorHAnsi"/>
              </w:rPr>
              <w:t>I</w:t>
            </w:r>
            <w:r w:rsidR="00160919" w:rsidRPr="00D475D8">
              <w:rPr>
                <w:rFonts w:asciiTheme="minorHAnsi" w:hAnsiTheme="minorHAnsi" w:cstheme="minorHAnsi"/>
              </w:rPr>
              <w:t>nter</w:t>
            </w:r>
            <w:r>
              <w:rPr>
                <w:rFonts w:asciiTheme="minorHAnsi" w:hAnsiTheme="minorHAnsi" w:cstheme="minorHAnsi"/>
              </w:rPr>
              <w:t>nal: AHRC cross-team</w:t>
            </w:r>
            <w:r w:rsidR="00667739">
              <w:rPr>
                <w:rFonts w:asciiTheme="minorHAnsi" w:hAnsiTheme="minorHAnsi" w:cstheme="minorHAnsi"/>
              </w:rPr>
              <w:t xml:space="preserve"> on 7</w:t>
            </w:r>
            <w:r w:rsidR="00667739" w:rsidRPr="00667739">
              <w:rPr>
                <w:rFonts w:asciiTheme="minorHAnsi" w:hAnsiTheme="minorHAnsi" w:cstheme="minorHAnsi"/>
                <w:vertAlign w:val="superscript"/>
              </w:rPr>
              <w:t>th</w:t>
            </w:r>
            <w:r w:rsidR="00667739">
              <w:rPr>
                <w:rFonts w:asciiTheme="minorHAnsi" w:hAnsiTheme="minorHAnsi" w:cstheme="minorHAnsi"/>
              </w:rPr>
              <w:t xml:space="preserve"> July 2021</w:t>
            </w:r>
            <w:r>
              <w:rPr>
                <w:rFonts w:asciiTheme="minorHAnsi" w:hAnsiTheme="minorHAnsi" w:cstheme="minorHAnsi"/>
              </w:rPr>
              <w:t>, ECDG</w:t>
            </w:r>
            <w:r w:rsidR="00667739">
              <w:rPr>
                <w:rFonts w:asciiTheme="minorHAnsi" w:hAnsiTheme="minorHAnsi" w:cstheme="minorHAnsi"/>
              </w:rPr>
              <w:t xml:space="preserve"> on 26</w:t>
            </w:r>
            <w:r w:rsidR="00667739" w:rsidRPr="00667739">
              <w:rPr>
                <w:rFonts w:asciiTheme="minorHAnsi" w:hAnsiTheme="minorHAnsi" w:cstheme="minorHAnsi"/>
                <w:vertAlign w:val="superscript"/>
              </w:rPr>
              <w:t>th</w:t>
            </w:r>
            <w:r w:rsidR="00667739">
              <w:rPr>
                <w:rFonts w:asciiTheme="minorHAnsi" w:hAnsiTheme="minorHAnsi" w:cstheme="minorHAnsi"/>
              </w:rPr>
              <w:t xml:space="preserve"> May and 13</w:t>
            </w:r>
            <w:r w:rsidR="00667739" w:rsidRPr="00667739">
              <w:rPr>
                <w:rFonts w:asciiTheme="minorHAnsi" w:hAnsiTheme="minorHAnsi" w:cstheme="minorHAnsi"/>
                <w:vertAlign w:val="superscript"/>
              </w:rPr>
              <w:t>th</w:t>
            </w:r>
            <w:r w:rsidR="00667739">
              <w:rPr>
                <w:rFonts w:asciiTheme="minorHAnsi" w:hAnsiTheme="minorHAnsi" w:cstheme="minorHAnsi"/>
              </w:rPr>
              <w:t xml:space="preserve"> September 2021</w:t>
            </w:r>
            <w:r>
              <w:rPr>
                <w:rFonts w:asciiTheme="minorHAnsi" w:hAnsiTheme="minorHAnsi" w:cstheme="minorHAnsi"/>
              </w:rPr>
              <w:t>, AHRC &amp; UKRI Innovation Scholars Programme Director (multiple dates)</w:t>
            </w:r>
          </w:p>
          <w:p w14:paraId="3794D5E4" w14:textId="1676A225" w:rsidR="00426F3A" w:rsidRDefault="00426F3A" w:rsidP="00D475D8">
            <w:pPr>
              <w:pStyle w:val="ListParagraph"/>
              <w:numPr>
                <w:ilvl w:val="0"/>
                <w:numId w:val="22"/>
              </w:numPr>
              <w:autoSpaceDE w:val="0"/>
              <w:autoSpaceDN w:val="0"/>
              <w:adjustRightInd w:val="0"/>
              <w:rPr>
                <w:rFonts w:asciiTheme="minorHAnsi" w:hAnsiTheme="minorHAnsi" w:cstheme="minorHAnsi"/>
              </w:rPr>
            </w:pPr>
            <w:r>
              <w:rPr>
                <w:rFonts w:asciiTheme="minorHAnsi" w:hAnsiTheme="minorHAnsi" w:cstheme="minorHAnsi"/>
              </w:rPr>
              <w:t>External</w:t>
            </w:r>
            <w:r w:rsidR="00667739">
              <w:rPr>
                <w:rFonts w:asciiTheme="minorHAnsi" w:hAnsiTheme="minorHAnsi" w:cstheme="minorHAnsi"/>
              </w:rPr>
              <w:t xml:space="preserve"> on 17</w:t>
            </w:r>
            <w:r w:rsidR="00667739" w:rsidRPr="00667739">
              <w:rPr>
                <w:rFonts w:asciiTheme="minorHAnsi" w:hAnsiTheme="minorHAnsi" w:cstheme="minorHAnsi"/>
                <w:vertAlign w:val="superscript"/>
              </w:rPr>
              <w:t>th</w:t>
            </w:r>
            <w:r w:rsidR="00667739">
              <w:rPr>
                <w:rFonts w:asciiTheme="minorHAnsi" w:hAnsiTheme="minorHAnsi" w:cstheme="minorHAnsi"/>
              </w:rPr>
              <w:t xml:space="preserve"> and 18</w:t>
            </w:r>
            <w:r w:rsidR="00667739" w:rsidRPr="00667739">
              <w:rPr>
                <w:rFonts w:asciiTheme="minorHAnsi" w:hAnsiTheme="minorHAnsi" w:cstheme="minorHAnsi"/>
                <w:vertAlign w:val="superscript"/>
              </w:rPr>
              <w:t>th</w:t>
            </w:r>
            <w:r w:rsidR="00667739">
              <w:rPr>
                <w:rFonts w:asciiTheme="minorHAnsi" w:hAnsiTheme="minorHAnsi" w:cstheme="minorHAnsi"/>
              </w:rPr>
              <w:t xml:space="preserve"> August 2021 wi</w:t>
            </w:r>
            <w:r w:rsidR="00F15B8A">
              <w:rPr>
                <w:rFonts w:asciiTheme="minorHAnsi" w:hAnsiTheme="minorHAnsi" w:cstheme="minorHAnsi"/>
              </w:rPr>
              <w:t>t</w:t>
            </w:r>
            <w:r w:rsidR="00667739">
              <w:rPr>
                <w:rFonts w:asciiTheme="minorHAnsi" w:hAnsiTheme="minorHAnsi" w:cstheme="minorHAnsi"/>
              </w:rPr>
              <w:t xml:space="preserve">h 11 stakeholders from across sectors, representing </w:t>
            </w:r>
            <w:r w:rsidR="00BA69E7">
              <w:rPr>
                <w:rFonts w:asciiTheme="minorHAnsi" w:hAnsiTheme="minorHAnsi" w:cstheme="minorHAnsi"/>
              </w:rPr>
              <w:t>a</w:t>
            </w:r>
            <w:r w:rsidR="00667739">
              <w:rPr>
                <w:rFonts w:asciiTheme="minorHAnsi" w:hAnsiTheme="minorHAnsi" w:cstheme="minorHAnsi"/>
              </w:rPr>
              <w:t xml:space="preserve">rchitecture and </w:t>
            </w:r>
            <w:r w:rsidR="00BA69E7">
              <w:rPr>
                <w:rFonts w:asciiTheme="minorHAnsi" w:hAnsiTheme="minorHAnsi" w:cstheme="minorHAnsi"/>
              </w:rPr>
              <w:t>d</w:t>
            </w:r>
            <w:r w:rsidR="00667739">
              <w:rPr>
                <w:rFonts w:asciiTheme="minorHAnsi" w:hAnsiTheme="minorHAnsi" w:cstheme="minorHAnsi"/>
              </w:rPr>
              <w:t>esign disciplines</w:t>
            </w:r>
          </w:p>
          <w:p w14:paraId="618F9A1F" w14:textId="0B8BEA94" w:rsidR="00D475D8" w:rsidRPr="00667739" w:rsidRDefault="00D475D8" w:rsidP="0094017F">
            <w:pPr>
              <w:autoSpaceDE w:val="0"/>
              <w:autoSpaceDN w:val="0"/>
              <w:adjustRightInd w:val="0"/>
              <w:rPr>
                <w:rFonts w:cstheme="minorHAnsi"/>
                <w:color w:val="7F7F7F" w:themeColor="text1" w:themeTint="80"/>
              </w:rPr>
            </w:pPr>
          </w:p>
        </w:tc>
      </w:tr>
      <w:tr w:rsidR="00085980" w:rsidRPr="00322D59" w14:paraId="618F9A24" w14:textId="77777777" w:rsidTr="00667739">
        <w:tc>
          <w:tcPr>
            <w:tcW w:w="2405" w:type="dxa"/>
            <w:shd w:val="clear" w:color="auto" w:fill="C6D9F1" w:themeFill="text2" w:themeFillTint="33"/>
          </w:tcPr>
          <w:p w14:paraId="618F9A21"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Who is affected by the </w:t>
            </w:r>
            <w:r>
              <w:rPr>
                <w:rFonts w:asciiTheme="minorHAnsi" w:hAnsiTheme="minorHAnsi" w:cstheme="minorHAnsi"/>
                <w:b/>
                <w:color w:val="000000" w:themeColor="text1"/>
              </w:rPr>
              <w:t>p</w:t>
            </w:r>
            <w:r w:rsidRPr="00322D59">
              <w:rPr>
                <w:rFonts w:asciiTheme="minorHAnsi" w:hAnsiTheme="minorHAnsi" w:cstheme="minorHAnsi"/>
                <w:b/>
                <w:color w:val="000000" w:themeColor="text1"/>
              </w:rPr>
              <w:t>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r w:rsidRPr="00322D59">
              <w:rPr>
                <w:rFonts w:asciiTheme="minorHAnsi" w:hAnsiTheme="minorHAnsi" w:cstheme="minorHAnsi"/>
                <w:b/>
                <w:color w:val="000000" w:themeColor="text1"/>
              </w:rPr>
              <w:t>?</w:t>
            </w:r>
          </w:p>
          <w:p w14:paraId="618F9A22"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6611" w:type="dxa"/>
          </w:tcPr>
          <w:p w14:paraId="70BF0BD2" w14:textId="0282C4E4" w:rsidR="00F504CE" w:rsidRDefault="00151540" w:rsidP="00256DC2">
            <w:pPr>
              <w:rPr>
                <w:rFonts w:cstheme="minorHAnsi"/>
              </w:rPr>
            </w:pPr>
            <w:r w:rsidRPr="00151540">
              <w:rPr>
                <w:rFonts w:cstheme="minorHAnsi"/>
                <w:b/>
                <w:bCs/>
              </w:rPr>
              <w:t>Within the AHRC:</w:t>
            </w:r>
            <w:r>
              <w:rPr>
                <w:rFonts w:cstheme="minorHAnsi"/>
              </w:rPr>
              <w:t xml:space="preserve"> </w:t>
            </w:r>
            <w:r w:rsidR="00F504CE">
              <w:rPr>
                <w:rFonts w:cstheme="minorHAnsi"/>
              </w:rPr>
              <w:t xml:space="preserve">This project </w:t>
            </w:r>
            <w:r w:rsidR="00667739">
              <w:rPr>
                <w:rFonts w:cstheme="minorHAnsi"/>
              </w:rPr>
              <w:t>was designed by Skills and will be</w:t>
            </w:r>
            <w:r w:rsidR="00F504CE">
              <w:rPr>
                <w:rFonts w:cstheme="minorHAnsi"/>
              </w:rPr>
              <w:t xml:space="preserve"> jointly </w:t>
            </w:r>
            <w:r w:rsidR="006D3776">
              <w:rPr>
                <w:rFonts w:cstheme="minorHAnsi"/>
              </w:rPr>
              <w:t>delivered by the Skills</w:t>
            </w:r>
            <w:r w:rsidR="00667739">
              <w:rPr>
                <w:rFonts w:cstheme="minorHAnsi"/>
              </w:rPr>
              <w:t>, Operations and UKRI FLF</w:t>
            </w:r>
            <w:r w:rsidR="006D3776">
              <w:rPr>
                <w:rFonts w:cstheme="minorHAnsi"/>
              </w:rPr>
              <w:t xml:space="preserve"> teams</w:t>
            </w:r>
            <w:r w:rsidR="0067061D">
              <w:rPr>
                <w:rFonts w:cstheme="minorHAnsi"/>
              </w:rPr>
              <w:t>.</w:t>
            </w:r>
            <w:r w:rsidR="00A976C5">
              <w:rPr>
                <w:rFonts w:cstheme="minorHAnsi"/>
              </w:rPr>
              <w:t xml:space="preserve"> </w:t>
            </w:r>
            <w:r w:rsidR="000F51CC">
              <w:rPr>
                <w:rFonts w:cstheme="minorHAnsi"/>
              </w:rPr>
              <w:t xml:space="preserve">Other </w:t>
            </w:r>
            <w:r w:rsidR="008C3945">
              <w:rPr>
                <w:rFonts w:cstheme="minorHAnsi"/>
              </w:rPr>
              <w:t>t</w:t>
            </w:r>
            <w:r w:rsidR="00F853E1">
              <w:rPr>
                <w:rFonts w:cstheme="minorHAnsi"/>
              </w:rPr>
              <w:t>eams</w:t>
            </w:r>
            <w:r w:rsidR="00667739">
              <w:rPr>
                <w:rFonts w:cstheme="minorHAnsi"/>
              </w:rPr>
              <w:t xml:space="preserve"> in AHRC</w:t>
            </w:r>
            <w:r w:rsidR="00F853E1">
              <w:rPr>
                <w:rFonts w:cstheme="minorHAnsi"/>
              </w:rPr>
              <w:t xml:space="preserve"> </w:t>
            </w:r>
            <w:r w:rsidR="00667739">
              <w:rPr>
                <w:rFonts w:cstheme="minorHAnsi"/>
              </w:rPr>
              <w:t xml:space="preserve">which </w:t>
            </w:r>
            <w:r w:rsidR="00222641">
              <w:rPr>
                <w:rFonts w:cstheme="minorHAnsi"/>
              </w:rPr>
              <w:t>will have a</w:t>
            </w:r>
            <w:r w:rsidR="00667739">
              <w:rPr>
                <w:rFonts w:cstheme="minorHAnsi"/>
              </w:rPr>
              <w:t xml:space="preserve">n </w:t>
            </w:r>
            <w:r w:rsidR="00222641">
              <w:rPr>
                <w:rFonts w:cstheme="minorHAnsi"/>
              </w:rPr>
              <w:t xml:space="preserve">interest </w:t>
            </w:r>
            <w:r w:rsidR="00667739">
              <w:rPr>
                <w:rFonts w:cstheme="minorHAnsi"/>
              </w:rPr>
              <w:t xml:space="preserve">are: Creative Industries Team and </w:t>
            </w:r>
            <w:proofErr w:type="spellStart"/>
            <w:r w:rsidR="00667739">
              <w:rPr>
                <w:rFonts w:cstheme="minorHAnsi"/>
              </w:rPr>
              <w:t>AI&amp;Design</w:t>
            </w:r>
            <w:proofErr w:type="spellEnd"/>
            <w:r w:rsidR="00667739">
              <w:rPr>
                <w:rFonts w:cstheme="minorHAnsi"/>
              </w:rPr>
              <w:t xml:space="preserve"> Team, as well as SIE team (at the point of evaluation).  </w:t>
            </w:r>
          </w:p>
          <w:p w14:paraId="3764AB5B" w14:textId="2C0E911C" w:rsidR="00667739" w:rsidRDefault="00667739" w:rsidP="00256DC2">
            <w:pPr>
              <w:rPr>
                <w:rFonts w:cstheme="minorHAnsi"/>
              </w:rPr>
            </w:pPr>
          </w:p>
          <w:p w14:paraId="45E1AAD9" w14:textId="4058A6A0" w:rsidR="00667739" w:rsidRDefault="00667739" w:rsidP="00256DC2">
            <w:pPr>
              <w:rPr>
                <w:rFonts w:cstheme="minorHAnsi"/>
              </w:rPr>
            </w:pPr>
            <w:r w:rsidRPr="00667739">
              <w:rPr>
                <w:rFonts w:cstheme="minorHAnsi"/>
                <w:b/>
                <w:bCs/>
              </w:rPr>
              <w:t>Within UKRI:</w:t>
            </w:r>
            <w:r>
              <w:rPr>
                <w:rFonts w:cstheme="minorHAnsi"/>
              </w:rPr>
              <w:t xml:space="preserve"> UKR</w:t>
            </w:r>
            <w:r w:rsidR="00F15B8A">
              <w:rPr>
                <w:rFonts w:cstheme="minorHAnsi"/>
              </w:rPr>
              <w:t>I</w:t>
            </w:r>
            <w:r>
              <w:rPr>
                <w:rFonts w:cstheme="minorHAnsi"/>
              </w:rPr>
              <w:t xml:space="preserve"> Innovation Scholars Programme Director and FLF team. </w:t>
            </w:r>
            <w:proofErr w:type="gramStart"/>
            <w:r w:rsidR="00BA69E7">
              <w:rPr>
                <w:rFonts w:cstheme="minorHAnsi"/>
              </w:rPr>
              <w:t>Also</w:t>
            </w:r>
            <w:proofErr w:type="gramEnd"/>
            <w:r w:rsidR="00BA69E7">
              <w:rPr>
                <w:rFonts w:cstheme="minorHAnsi"/>
              </w:rPr>
              <w:t xml:space="preserve"> UKRI Events who will assist with setting up and delivering our information webinars.</w:t>
            </w:r>
          </w:p>
          <w:p w14:paraId="1E25688E" w14:textId="77777777" w:rsidR="006E0E97" w:rsidRDefault="006E0E97" w:rsidP="006E0E97">
            <w:pPr>
              <w:pStyle w:val="ListParagraph"/>
              <w:autoSpaceDE w:val="0"/>
              <w:autoSpaceDN w:val="0"/>
              <w:adjustRightInd w:val="0"/>
              <w:rPr>
                <w:rFonts w:asciiTheme="minorHAnsi" w:hAnsiTheme="minorHAnsi" w:cstheme="minorHAnsi"/>
              </w:rPr>
            </w:pPr>
          </w:p>
          <w:p w14:paraId="3023B26C" w14:textId="77777777" w:rsidR="00667739" w:rsidRDefault="00202068" w:rsidP="00785CF4">
            <w:pPr>
              <w:autoSpaceDE w:val="0"/>
              <w:autoSpaceDN w:val="0"/>
              <w:adjustRightInd w:val="0"/>
            </w:pPr>
            <w:r w:rsidRPr="5B037A42">
              <w:rPr>
                <w:b/>
                <w:bCs/>
              </w:rPr>
              <w:t>Academi</w:t>
            </w:r>
            <w:r w:rsidR="00667739">
              <w:rPr>
                <w:b/>
                <w:bCs/>
              </w:rPr>
              <w:t>c and non-academic community</w:t>
            </w:r>
            <w:r w:rsidRPr="5B037A42">
              <w:rPr>
                <w:b/>
                <w:bCs/>
              </w:rPr>
              <w:t>:</w:t>
            </w:r>
            <w:r w:rsidRPr="5B037A42">
              <w:t xml:space="preserve"> </w:t>
            </w:r>
          </w:p>
          <w:p w14:paraId="0ECCA620" w14:textId="76F346C0" w:rsidR="00667739" w:rsidRPr="00667739" w:rsidRDefault="0067061D" w:rsidP="00667739">
            <w:pPr>
              <w:pStyle w:val="ListParagraph"/>
              <w:numPr>
                <w:ilvl w:val="0"/>
                <w:numId w:val="33"/>
              </w:numPr>
              <w:autoSpaceDE w:val="0"/>
              <w:autoSpaceDN w:val="0"/>
              <w:adjustRightInd w:val="0"/>
              <w:rPr>
                <w:rFonts w:asciiTheme="minorHAnsi" w:hAnsiTheme="minorHAnsi" w:cstheme="minorHAnsi"/>
              </w:rPr>
            </w:pPr>
            <w:r w:rsidRPr="00667739">
              <w:rPr>
                <w:rFonts w:asciiTheme="minorHAnsi" w:hAnsiTheme="minorHAnsi" w:cstheme="minorHAnsi"/>
              </w:rPr>
              <w:t xml:space="preserve">Selected researchers at all career stages within and beyond academia in </w:t>
            </w:r>
            <w:r w:rsidR="00BA69E7">
              <w:rPr>
                <w:rFonts w:asciiTheme="minorHAnsi" w:hAnsiTheme="minorHAnsi" w:cstheme="minorHAnsi"/>
              </w:rPr>
              <w:t>a</w:t>
            </w:r>
            <w:r w:rsidR="00667739" w:rsidRPr="00667739">
              <w:rPr>
                <w:rFonts w:asciiTheme="minorHAnsi" w:hAnsiTheme="minorHAnsi" w:cstheme="minorHAnsi"/>
              </w:rPr>
              <w:t xml:space="preserve">rchitecture and </w:t>
            </w:r>
            <w:r w:rsidR="00BA69E7">
              <w:rPr>
                <w:rFonts w:asciiTheme="minorHAnsi" w:hAnsiTheme="minorHAnsi" w:cstheme="minorHAnsi"/>
              </w:rPr>
              <w:t>d</w:t>
            </w:r>
            <w:r w:rsidR="00667739" w:rsidRPr="00667739">
              <w:rPr>
                <w:rFonts w:asciiTheme="minorHAnsi" w:hAnsiTheme="minorHAnsi" w:cstheme="minorHAnsi"/>
              </w:rPr>
              <w:t xml:space="preserve">esign. </w:t>
            </w:r>
          </w:p>
          <w:p w14:paraId="19768521" w14:textId="77777777" w:rsidR="00667739" w:rsidRPr="00667739" w:rsidRDefault="00667739" w:rsidP="00667739">
            <w:pPr>
              <w:pStyle w:val="ListParagraph"/>
              <w:numPr>
                <w:ilvl w:val="0"/>
                <w:numId w:val="33"/>
              </w:numPr>
              <w:autoSpaceDE w:val="0"/>
              <w:autoSpaceDN w:val="0"/>
              <w:adjustRightInd w:val="0"/>
              <w:rPr>
                <w:rFonts w:asciiTheme="minorHAnsi" w:hAnsiTheme="minorHAnsi" w:cstheme="minorHAnsi"/>
              </w:rPr>
            </w:pPr>
            <w:r w:rsidRPr="00667739">
              <w:rPr>
                <w:rFonts w:asciiTheme="minorHAnsi" w:hAnsiTheme="minorHAnsi" w:cstheme="minorHAnsi"/>
              </w:rPr>
              <w:t xml:space="preserve">The employers of these researchers. </w:t>
            </w:r>
          </w:p>
          <w:p w14:paraId="618F9A23" w14:textId="2E18F164" w:rsidR="00202068" w:rsidRPr="00667739" w:rsidRDefault="00667739" w:rsidP="00667739">
            <w:pPr>
              <w:pStyle w:val="ListParagraph"/>
              <w:numPr>
                <w:ilvl w:val="0"/>
                <w:numId w:val="33"/>
              </w:numPr>
              <w:autoSpaceDE w:val="0"/>
              <w:autoSpaceDN w:val="0"/>
              <w:adjustRightInd w:val="0"/>
            </w:pPr>
            <w:r w:rsidRPr="00667739">
              <w:rPr>
                <w:rFonts w:asciiTheme="minorHAnsi" w:hAnsiTheme="minorHAnsi" w:cstheme="minorHAnsi"/>
              </w:rPr>
              <w:t xml:space="preserve">Selected </w:t>
            </w:r>
            <w:r w:rsidR="00CB2A6A">
              <w:rPr>
                <w:rFonts w:asciiTheme="minorHAnsi" w:hAnsiTheme="minorHAnsi" w:cstheme="minorHAnsi"/>
              </w:rPr>
              <w:t>research organisation</w:t>
            </w:r>
            <w:r w:rsidR="00335B69">
              <w:rPr>
                <w:rFonts w:asciiTheme="minorHAnsi" w:hAnsiTheme="minorHAnsi" w:cstheme="minorHAnsi"/>
              </w:rPr>
              <w:t>s (ROs)</w:t>
            </w:r>
            <w:r w:rsidR="00CB2A6A">
              <w:rPr>
                <w:rFonts w:asciiTheme="minorHAnsi" w:hAnsiTheme="minorHAnsi" w:cstheme="minorHAnsi"/>
              </w:rPr>
              <w:t xml:space="preserve"> and </w:t>
            </w:r>
            <w:r w:rsidRPr="00667739">
              <w:rPr>
                <w:rFonts w:asciiTheme="minorHAnsi" w:hAnsiTheme="minorHAnsi" w:cstheme="minorHAnsi"/>
              </w:rPr>
              <w:t>entities from private, public and third sector which will host the secondments.</w:t>
            </w:r>
            <w:r>
              <w:t xml:space="preserve"> </w:t>
            </w:r>
          </w:p>
        </w:tc>
      </w:tr>
      <w:tr w:rsidR="00085980" w:rsidRPr="00322D59" w14:paraId="618F9A27" w14:textId="77777777" w:rsidTr="00667739">
        <w:tc>
          <w:tcPr>
            <w:tcW w:w="2405" w:type="dxa"/>
            <w:shd w:val="clear" w:color="auto" w:fill="C6D9F1" w:themeFill="text2" w:themeFillTint="33"/>
          </w:tcPr>
          <w:p w14:paraId="618F9A25" w14:textId="77777777" w:rsidR="00085980" w:rsidRPr="00322D59" w:rsidRDefault="0086287D" w:rsidP="0086287D">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What are the a</w:t>
            </w:r>
            <w:r w:rsidR="00085980" w:rsidRPr="00322D59">
              <w:rPr>
                <w:rFonts w:asciiTheme="minorHAnsi" w:hAnsiTheme="minorHAnsi" w:cstheme="minorHAnsi"/>
                <w:b/>
                <w:color w:val="000000" w:themeColor="text1"/>
              </w:rPr>
              <w:t>rrangements for monitoring and reviewing</w:t>
            </w:r>
            <w:r>
              <w:rPr>
                <w:rFonts w:asciiTheme="minorHAnsi" w:hAnsiTheme="minorHAnsi" w:cstheme="minorHAnsi"/>
                <w:b/>
                <w:color w:val="000000" w:themeColor="text1"/>
              </w:rPr>
              <w:t xml:space="preserve"> the</w:t>
            </w:r>
            <w:r w:rsidR="00085980" w:rsidRPr="00322D59">
              <w:rPr>
                <w:rFonts w:asciiTheme="minorHAnsi" w:hAnsiTheme="minorHAnsi" w:cstheme="minorHAnsi"/>
                <w:b/>
                <w:color w:val="000000" w:themeColor="text1"/>
              </w:rPr>
              <w:t xml:space="preserve"> actual impact of the </w:t>
            </w:r>
            <w:r w:rsidR="00085980">
              <w:rPr>
                <w:rFonts w:asciiTheme="minorHAnsi" w:hAnsiTheme="minorHAnsi" w:cstheme="minorHAnsi"/>
                <w:b/>
                <w:color w:val="000000" w:themeColor="text1"/>
              </w:rPr>
              <w:lastRenderedPageBreak/>
              <w:t>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Pr>
                <w:rFonts w:asciiTheme="minorHAnsi" w:hAnsiTheme="minorHAnsi" w:cstheme="minorHAnsi"/>
                <w:b/>
                <w:color w:val="000000" w:themeColor="text1"/>
              </w:rPr>
              <w:t>?</w:t>
            </w:r>
          </w:p>
        </w:tc>
        <w:tc>
          <w:tcPr>
            <w:tcW w:w="6611" w:type="dxa"/>
          </w:tcPr>
          <w:p w14:paraId="769D07F1" w14:textId="3C4A3C4C" w:rsidR="00FA0ED0" w:rsidRPr="007737D8" w:rsidRDefault="00667739" w:rsidP="00426F3A">
            <w:pPr>
              <w:rPr>
                <w:rFonts w:cstheme="minorHAnsi"/>
              </w:rPr>
            </w:pPr>
            <w:r w:rsidRPr="007737D8">
              <w:rPr>
                <w:rFonts w:cstheme="minorHAnsi"/>
              </w:rPr>
              <w:lastRenderedPageBreak/>
              <w:t>A set of success measures for each objective</w:t>
            </w:r>
            <w:r w:rsidR="007737D8">
              <w:rPr>
                <w:rFonts w:cstheme="minorHAnsi"/>
              </w:rPr>
              <w:t xml:space="preserve"> listed under item 2.</w:t>
            </w:r>
            <w:r w:rsidRPr="007737D8">
              <w:rPr>
                <w:rFonts w:cstheme="minorHAnsi"/>
              </w:rPr>
              <w:t xml:space="preserve"> has been produced and is included in the Business Case. Secondments will be evaluated against these success measures </w:t>
            </w:r>
            <w:r w:rsidR="00BA69E7">
              <w:rPr>
                <w:rFonts w:cstheme="minorHAnsi"/>
              </w:rPr>
              <w:t xml:space="preserve">in </w:t>
            </w:r>
            <w:r w:rsidRPr="007737D8">
              <w:rPr>
                <w:rFonts w:cstheme="minorHAnsi"/>
              </w:rPr>
              <w:t>stages:</w:t>
            </w:r>
          </w:p>
          <w:p w14:paraId="72C64702" w14:textId="28FE38A1" w:rsidR="00BA69E7" w:rsidRDefault="00667739" w:rsidP="00667739">
            <w:pPr>
              <w:jc w:val="both"/>
              <w:rPr>
                <w:rFonts w:cstheme="minorHAnsi"/>
              </w:rPr>
            </w:pPr>
            <w:r w:rsidRPr="007737D8">
              <w:rPr>
                <w:rFonts w:cstheme="minorHAnsi"/>
              </w:rPr>
              <w:lastRenderedPageBreak/>
              <w:t xml:space="preserve">1. </w:t>
            </w:r>
            <w:r w:rsidR="00BA69E7">
              <w:rPr>
                <w:rFonts w:cstheme="minorHAnsi"/>
              </w:rPr>
              <w:t xml:space="preserve">An initial monitoring form should be completed by each secondee at the start of the secondment period. It will set objectives for the secondment. </w:t>
            </w:r>
          </w:p>
          <w:p w14:paraId="079C07FB" w14:textId="20C70345" w:rsidR="00667739" w:rsidRPr="007737D8" w:rsidRDefault="00BA69E7" w:rsidP="00667739">
            <w:pPr>
              <w:jc w:val="both"/>
              <w:rPr>
                <w:rFonts w:cstheme="minorHAnsi"/>
              </w:rPr>
            </w:pPr>
            <w:r>
              <w:rPr>
                <w:rFonts w:cstheme="minorHAnsi"/>
              </w:rPr>
              <w:t xml:space="preserve">2. </w:t>
            </w:r>
            <w:r w:rsidR="00667739" w:rsidRPr="007737D8">
              <w:rPr>
                <w:rFonts w:cstheme="minorHAnsi"/>
              </w:rPr>
              <w:t>An interim survey will be circulated to secondees</w:t>
            </w:r>
            <w:r>
              <w:rPr>
                <w:rFonts w:cstheme="minorHAnsi"/>
              </w:rPr>
              <w:t xml:space="preserve">, most likely </w:t>
            </w:r>
            <w:r w:rsidR="00667739" w:rsidRPr="007737D8">
              <w:rPr>
                <w:rFonts w:cstheme="minorHAnsi"/>
              </w:rPr>
              <w:t>April 2024</w:t>
            </w:r>
            <w:r>
              <w:rPr>
                <w:rFonts w:cstheme="minorHAnsi"/>
              </w:rPr>
              <w:t xml:space="preserve">, depending </w:t>
            </w:r>
            <w:proofErr w:type="gramStart"/>
            <w:r>
              <w:rPr>
                <w:rFonts w:cstheme="minorHAnsi"/>
              </w:rPr>
              <w:t>on  the</w:t>
            </w:r>
            <w:proofErr w:type="gramEnd"/>
            <w:r>
              <w:rPr>
                <w:rFonts w:cstheme="minorHAnsi"/>
              </w:rPr>
              <w:t xml:space="preserve"> length of the secondments</w:t>
            </w:r>
            <w:r w:rsidR="007737D8">
              <w:rPr>
                <w:rFonts w:cstheme="minorHAnsi"/>
              </w:rPr>
              <w:t>;</w:t>
            </w:r>
          </w:p>
          <w:p w14:paraId="67DC9B3B" w14:textId="310E62B4" w:rsidR="007737D8" w:rsidRPr="007737D8" w:rsidRDefault="00BA69E7" w:rsidP="007737D8">
            <w:pPr>
              <w:jc w:val="both"/>
              <w:rPr>
                <w:rFonts w:cstheme="minorHAnsi"/>
              </w:rPr>
            </w:pPr>
            <w:r>
              <w:rPr>
                <w:rFonts w:cstheme="minorHAnsi"/>
              </w:rPr>
              <w:t>3</w:t>
            </w:r>
            <w:r w:rsidR="00667739" w:rsidRPr="007737D8">
              <w:rPr>
                <w:rFonts w:cstheme="minorHAnsi"/>
              </w:rPr>
              <w:t>. An end-of-award survey will be circulated to all secondees</w:t>
            </w:r>
            <w:r>
              <w:rPr>
                <w:rFonts w:cstheme="minorHAnsi"/>
              </w:rPr>
              <w:t>, and a com</w:t>
            </w:r>
            <w:r w:rsidRPr="00B4015A">
              <w:rPr>
                <w:rFonts w:cstheme="minorHAnsi"/>
              </w:rPr>
              <w:t>pl</w:t>
            </w:r>
            <w:r w:rsidR="00E8288F" w:rsidRPr="00B4015A">
              <w:rPr>
                <w:rFonts w:cstheme="minorHAnsi"/>
              </w:rPr>
              <w:t>e</w:t>
            </w:r>
            <w:r>
              <w:rPr>
                <w:rFonts w:cstheme="minorHAnsi"/>
              </w:rPr>
              <w:t xml:space="preserve">mentary survey – to </w:t>
            </w:r>
            <w:r w:rsidR="00667739" w:rsidRPr="007737D8">
              <w:rPr>
                <w:rFonts w:cstheme="minorHAnsi"/>
              </w:rPr>
              <w:t xml:space="preserve">  main contacts at the applying organisations and main contacts receiving organisations to capture insights from all involved parties</w:t>
            </w:r>
            <w:r w:rsidR="007737D8" w:rsidRPr="007737D8">
              <w:rPr>
                <w:rFonts w:cstheme="minorHAnsi"/>
              </w:rPr>
              <w:t xml:space="preserve"> once the awards have finished. </w:t>
            </w:r>
            <w:r>
              <w:rPr>
                <w:rFonts w:cstheme="minorHAnsi"/>
              </w:rPr>
              <w:t xml:space="preserve">They will be asked to complete it within a month from the end date of their secondment. </w:t>
            </w:r>
            <w:r w:rsidR="007737D8" w:rsidRPr="007737D8">
              <w:rPr>
                <w:rFonts w:cstheme="minorHAnsi"/>
              </w:rPr>
              <w:t xml:space="preserve">Through this end-of-award evaluation process we will gather feedback about characteristics of the scheme, if/how it met the applicants’ needs, how it affected their career paths and what benefits have been realised, as well as gather comments on how AHRC and UKRI could improve delivery of the scheme. </w:t>
            </w:r>
          </w:p>
          <w:p w14:paraId="18D07D64" w14:textId="77777777" w:rsidR="00667739" w:rsidRPr="007737D8" w:rsidRDefault="00667739" w:rsidP="00426F3A">
            <w:pPr>
              <w:rPr>
                <w:rFonts w:cstheme="minorHAnsi"/>
              </w:rPr>
            </w:pPr>
          </w:p>
          <w:p w14:paraId="352D1FA5" w14:textId="03FB79D9" w:rsidR="00667739" w:rsidRDefault="00667739" w:rsidP="007737D8">
            <w:pPr>
              <w:jc w:val="both"/>
              <w:rPr>
                <w:rFonts w:cstheme="minorHAnsi"/>
              </w:rPr>
            </w:pPr>
            <w:r w:rsidRPr="007737D8">
              <w:rPr>
                <w:rFonts w:cstheme="minorHAnsi"/>
              </w:rPr>
              <w:t xml:space="preserve">Additionally, an </w:t>
            </w:r>
            <w:r w:rsidR="00BA69E7">
              <w:rPr>
                <w:rFonts w:cstheme="minorHAnsi"/>
              </w:rPr>
              <w:t xml:space="preserve">internal </w:t>
            </w:r>
            <w:r w:rsidRPr="007737D8">
              <w:rPr>
                <w:rFonts w:cstheme="minorHAnsi"/>
              </w:rPr>
              <w:t>evaluation of the application process</w:t>
            </w:r>
            <w:r w:rsidR="00BA69E7">
              <w:rPr>
                <w:rFonts w:cstheme="minorHAnsi"/>
              </w:rPr>
              <w:t xml:space="preserve">, conducted by AHRC Data Team and </w:t>
            </w:r>
            <w:proofErr w:type="gramStart"/>
            <w:r w:rsidR="00BA69E7">
              <w:rPr>
                <w:rFonts w:cstheme="minorHAnsi"/>
              </w:rPr>
              <w:t xml:space="preserve">Skills, </w:t>
            </w:r>
            <w:r w:rsidRPr="007737D8">
              <w:rPr>
                <w:rFonts w:cstheme="minorHAnsi"/>
              </w:rPr>
              <w:t xml:space="preserve"> is</w:t>
            </w:r>
            <w:proofErr w:type="gramEnd"/>
            <w:r w:rsidRPr="007737D8">
              <w:rPr>
                <w:rFonts w:cstheme="minorHAnsi"/>
              </w:rPr>
              <w:t xml:space="preserve"> planned for </w:t>
            </w:r>
            <w:r w:rsidR="007737D8" w:rsidRPr="007737D8">
              <w:rPr>
                <w:rFonts w:cstheme="minorHAnsi"/>
              </w:rPr>
              <w:t>March 2023. If this evaluation shows that the pilot call generated sufficient interest in, and applications of high quality from the community, this will be reported to ECDG to inform a decision about any further pilots or rounds.</w:t>
            </w:r>
          </w:p>
          <w:p w14:paraId="39CBCCAB" w14:textId="77777777" w:rsidR="00EB5ACF" w:rsidRDefault="00EB5ACF" w:rsidP="007737D8">
            <w:pPr>
              <w:jc w:val="both"/>
              <w:rPr>
                <w:rFonts w:cstheme="minorHAnsi"/>
              </w:rPr>
            </w:pPr>
          </w:p>
          <w:p w14:paraId="4EF53B73" w14:textId="7F720448" w:rsidR="00EB5ACF" w:rsidRPr="00EB5ACF" w:rsidRDefault="00EB5ACF" w:rsidP="00EB5ACF">
            <w:pPr>
              <w:pStyle w:val="CommentText"/>
              <w:rPr>
                <w:rFonts w:cstheme="minorHAnsi"/>
                <w:sz w:val="22"/>
                <w:szCs w:val="22"/>
              </w:rPr>
            </w:pPr>
            <w:r>
              <w:rPr>
                <w:rFonts w:cstheme="minorHAnsi"/>
                <w:sz w:val="22"/>
                <w:szCs w:val="22"/>
              </w:rPr>
              <w:t>W</w:t>
            </w:r>
            <w:r w:rsidRPr="00EB5ACF">
              <w:rPr>
                <w:rFonts w:cstheme="minorHAnsi"/>
                <w:sz w:val="22"/>
                <w:szCs w:val="22"/>
              </w:rPr>
              <w:t xml:space="preserve">e will collect EDI information on applicants through AHRC/ UKRI application </w:t>
            </w:r>
            <w:proofErr w:type="spellStart"/>
            <w:r w:rsidRPr="00EB5ACF">
              <w:rPr>
                <w:rFonts w:cstheme="minorHAnsi"/>
                <w:sz w:val="22"/>
                <w:szCs w:val="22"/>
              </w:rPr>
              <w:t>proceses</w:t>
            </w:r>
            <w:proofErr w:type="spellEnd"/>
            <w:r w:rsidRPr="00EB5ACF">
              <w:rPr>
                <w:rFonts w:cstheme="minorHAnsi"/>
                <w:sz w:val="22"/>
                <w:szCs w:val="22"/>
              </w:rPr>
              <w:t xml:space="preserve"> </w:t>
            </w:r>
            <w:r w:rsidR="00BA69E7">
              <w:rPr>
                <w:rFonts w:cstheme="minorHAnsi"/>
                <w:sz w:val="22"/>
                <w:szCs w:val="22"/>
              </w:rPr>
              <w:t xml:space="preserve">on the </w:t>
            </w:r>
            <w:r>
              <w:rPr>
                <w:rFonts w:cstheme="minorHAnsi"/>
                <w:sz w:val="22"/>
                <w:szCs w:val="22"/>
              </w:rPr>
              <w:t xml:space="preserve">Je-S system </w:t>
            </w:r>
            <w:r w:rsidRPr="00EB5ACF">
              <w:rPr>
                <w:rFonts w:cstheme="minorHAnsi"/>
                <w:sz w:val="22"/>
                <w:szCs w:val="22"/>
              </w:rPr>
              <w:t>and we will analyse and report on the data following the completion of the commissioning process and as a part of evaluating the pilot.</w:t>
            </w:r>
          </w:p>
          <w:p w14:paraId="618F9A26" w14:textId="1F23C1BA" w:rsidR="00EB5ACF" w:rsidRPr="007737D8" w:rsidRDefault="00EB5ACF" w:rsidP="007737D8">
            <w:pPr>
              <w:jc w:val="both"/>
              <w:rPr>
                <w:rFonts w:cstheme="minorHAnsi"/>
              </w:rPr>
            </w:pPr>
          </w:p>
        </w:tc>
      </w:tr>
    </w:tbl>
    <w:p w14:paraId="260F6E09" w14:textId="38FD1315" w:rsidR="00543282" w:rsidRDefault="00543282" w:rsidP="00085980">
      <w:pPr>
        <w:spacing w:after="0"/>
        <w:rPr>
          <w:rFonts w:cstheme="minorHAnsi"/>
          <w:b/>
          <w:color w:val="000000" w:themeColor="text1"/>
        </w:rPr>
      </w:pPr>
    </w:p>
    <w:p w14:paraId="5FD1CEDD" w14:textId="77777777" w:rsidR="00543282" w:rsidRPr="00322D59" w:rsidRDefault="00543282" w:rsidP="00085980">
      <w:pPr>
        <w:spacing w:after="0"/>
        <w:rPr>
          <w:rFonts w:cstheme="minorHAnsi"/>
          <w:b/>
          <w:color w:val="000000" w:themeColor="text1"/>
        </w:rPr>
      </w:pPr>
    </w:p>
    <w:tbl>
      <w:tblPr>
        <w:tblStyle w:val="TableGrid"/>
        <w:tblW w:w="9016" w:type="dxa"/>
        <w:tblLayout w:type="fixed"/>
        <w:tblLook w:val="04A0" w:firstRow="1" w:lastRow="0" w:firstColumn="1" w:lastColumn="0" w:noHBand="0" w:noVBand="1"/>
      </w:tblPr>
      <w:tblGrid>
        <w:gridCol w:w="1555"/>
        <w:gridCol w:w="992"/>
        <w:gridCol w:w="2835"/>
        <w:gridCol w:w="3634"/>
      </w:tblGrid>
      <w:tr w:rsidR="00335B69" w:rsidRPr="00322D59" w14:paraId="618F9A2E" w14:textId="77777777" w:rsidTr="00335B69">
        <w:tc>
          <w:tcPr>
            <w:tcW w:w="1555" w:type="dxa"/>
            <w:shd w:val="clear" w:color="auto" w:fill="C6D9F1" w:themeFill="text2" w:themeFillTint="33"/>
          </w:tcPr>
          <w:p w14:paraId="618F9A2A" w14:textId="77777777" w:rsidR="00085980" w:rsidRPr="00335B69" w:rsidRDefault="0086287D" w:rsidP="00B653E7">
            <w:pPr>
              <w:rPr>
                <w:rFonts w:cstheme="minorHAnsi"/>
                <w:b/>
                <w:color w:val="000000" w:themeColor="text1"/>
                <w:sz w:val="20"/>
                <w:szCs w:val="20"/>
              </w:rPr>
            </w:pPr>
            <w:r w:rsidRPr="00335B69">
              <w:rPr>
                <w:rFonts w:cstheme="minorHAnsi"/>
                <w:b/>
                <w:color w:val="000000" w:themeColor="text1"/>
                <w:sz w:val="20"/>
                <w:szCs w:val="20"/>
              </w:rPr>
              <w:t xml:space="preserve">Protected Characteristic </w:t>
            </w:r>
            <w:r w:rsidR="00085980" w:rsidRPr="00335B69">
              <w:rPr>
                <w:rFonts w:cstheme="minorHAnsi"/>
                <w:b/>
                <w:color w:val="000000" w:themeColor="text1"/>
                <w:sz w:val="20"/>
                <w:szCs w:val="20"/>
              </w:rPr>
              <w:t xml:space="preserve">Group </w:t>
            </w:r>
          </w:p>
        </w:tc>
        <w:tc>
          <w:tcPr>
            <w:tcW w:w="992" w:type="dxa"/>
            <w:shd w:val="clear" w:color="auto" w:fill="C6D9F1" w:themeFill="text2" w:themeFillTint="33"/>
          </w:tcPr>
          <w:p w14:paraId="618F9A2B" w14:textId="77777777" w:rsidR="00085980" w:rsidRPr="00335B69" w:rsidRDefault="00085980" w:rsidP="00B653E7">
            <w:pPr>
              <w:rPr>
                <w:rFonts w:cstheme="minorHAnsi"/>
                <w:b/>
                <w:color w:val="000000" w:themeColor="text1"/>
                <w:sz w:val="20"/>
                <w:szCs w:val="20"/>
              </w:rPr>
            </w:pPr>
            <w:r w:rsidRPr="00335B69">
              <w:rPr>
                <w:rFonts w:cstheme="minorHAnsi"/>
                <w:b/>
                <w:color w:val="000000" w:themeColor="text1"/>
                <w:sz w:val="20"/>
                <w:szCs w:val="20"/>
              </w:rPr>
              <w:t>Is there a potential for positive or negative impact?</w:t>
            </w:r>
          </w:p>
        </w:tc>
        <w:tc>
          <w:tcPr>
            <w:tcW w:w="2835" w:type="dxa"/>
            <w:shd w:val="clear" w:color="auto" w:fill="C6D9F1" w:themeFill="text2" w:themeFillTint="33"/>
          </w:tcPr>
          <w:p w14:paraId="618F9A2C" w14:textId="77777777" w:rsidR="00085980" w:rsidRPr="00335B69" w:rsidRDefault="00085980" w:rsidP="00B653E7">
            <w:pPr>
              <w:rPr>
                <w:rFonts w:cstheme="minorHAnsi"/>
                <w:b/>
                <w:color w:val="000000" w:themeColor="text1"/>
                <w:sz w:val="20"/>
                <w:szCs w:val="20"/>
              </w:rPr>
            </w:pPr>
            <w:r w:rsidRPr="00335B69">
              <w:rPr>
                <w:rFonts w:cstheme="minorHAnsi"/>
                <w:b/>
                <w:color w:val="000000" w:themeColor="text1"/>
                <w:sz w:val="20"/>
                <w:szCs w:val="20"/>
              </w:rPr>
              <w:t>Please explain and give examples of any evidence/data used</w:t>
            </w:r>
          </w:p>
        </w:tc>
        <w:tc>
          <w:tcPr>
            <w:tcW w:w="3634" w:type="dxa"/>
            <w:shd w:val="clear" w:color="auto" w:fill="C6D9F1" w:themeFill="text2" w:themeFillTint="33"/>
          </w:tcPr>
          <w:p w14:paraId="19B602B3" w14:textId="77777777" w:rsidR="00085980" w:rsidRPr="00335B69" w:rsidRDefault="00085980" w:rsidP="00B653E7">
            <w:pPr>
              <w:rPr>
                <w:rFonts w:cstheme="minorHAnsi"/>
                <w:b/>
                <w:color w:val="000000" w:themeColor="text1"/>
                <w:sz w:val="20"/>
                <w:szCs w:val="20"/>
              </w:rPr>
            </w:pPr>
            <w:r w:rsidRPr="00335B69">
              <w:rPr>
                <w:rFonts w:cstheme="minorHAnsi"/>
                <w:b/>
                <w:color w:val="000000" w:themeColor="text1"/>
                <w:sz w:val="20"/>
                <w:szCs w:val="20"/>
              </w:rPr>
              <w:t>Action to address negative impact (</w:t>
            </w:r>
            <w:proofErr w:type="gramStart"/>
            <w:r w:rsidRPr="00335B69">
              <w:rPr>
                <w:rFonts w:cstheme="minorHAnsi"/>
                <w:b/>
                <w:color w:val="000000" w:themeColor="text1"/>
                <w:sz w:val="20"/>
                <w:szCs w:val="20"/>
              </w:rPr>
              <w:t>e.g.</w:t>
            </w:r>
            <w:proofErr w:type="gramEnd"/>
            <w:r w:rsidRPr="00335B69">
              <w:rPr>
                <w:rFonts w:cstheme="minorHAnsi"/>
                <w:b/>
                <w:color w:val="000000" w:themeColor="text1"/>
                <w:sz w:val="20"/>
                <w:szCs w:val="20"/>
              </w:rPr>
              <w:t xml:space="preserve"> adjustment to the policy)</w:t>
            </w:r>
          </w:p>
          <w:p w14:paraId="6708C0C5" w14:textId="77777777" w:rsidR="00E57B96" w:rsidRPr="00335B69" w:rsidRDefault="00E57B96" w:rsidP="00E57B96">
            <w:pPr>
              <w:rPr>
                <w:rFonts w:cstheme="minorHAnsi"/>
                <w:b/>
                <w:color w:val="000000" w:themeColor="text1"/>
                <w:sz w:val="20"/>
                <w:szCs w:val="20"/>
              </w:rPr>
            </w:pPr>
          </w:p>
          <w:p w14:paraId="62D18111" w14:textId="77777777" w:rsidR="00E57B96" w:rsidRPr="00335B69" w:rsidRDefault="00E57B96" w:rsidP="00E57B96">
            <w:pPr>
              <w:rPr>
                <w:rFonts w:cstheme="minorHAnsi"/>
                <w:b/>
                <w:color w:val="000000" w:themeColor="text1"/>
                <w:sz w:val="20"/>
                <w:szCs w:val="20"/>
              </w:rPr>
            </w:pPr>
          </w:p>
          <w:p w14:paraId="618F9A2D" w14:textId="55D83762" w:rsidR="00E57B96" w:rsidRPr="00335B69" w:rsidRDefault="00E57B96" w:rsidP="00E57B96">
            <w:pPr>
              <w:rPr>
                <w:rFonts w:cstheme="minorHAnsi"/>
                <w:b/>
                <w:sz w:val="20"/>
                <w:szCs w:val="20"/>
              </w:rPr>
            </w:pPr>
          </w:p>
        </w:tc>
      </w:tr>
      <w:tr w:rsidR="00335B69" w:rsidRPr="00322D59" w14:paraId="618F9A34" w14:textId="77777777" w:rsidTr="00335B69">
        <w:trPr>
          <w:trHeight w:val="331"/>
        </w:trPr>
        <w:tc>
          <w:tcPr>
            <w:tcW w:w="1555" w:type="dxa"/>
            <w:shd w:val="clear" w:color="auto" w:fill="C6D9F1" w:themeFill="text2" w:themeFillTint="33"/>
          </w:tcPr>
          <w:p w14:paraId="618F9A2F" w14:textId="77777777" w:rsidR="00085980" w:rsidRPr="00322D59" w:rsidRDefault="00085980" w:rsidP="00B653E7">
            <w:pPr>
              <w:rPr>
                <w:rFonts w:cstheme="minorHAnsi"/>
                <w:b/>
                <w:color w:val="000000" w:themeColor="text1"/>
              </w:rPr>
            </w:pPr>
            <w:r w:rsidRPr="00322D59">
              <w:rPr>
                <w:rFonts w:cstheme="minorHAnsi"/>
                <w:b/>
                <w:color w:val="000000" w:themeColor="text1"/>
              </w:rPr>
              <w:t>Disability</w:t>
            </w:r>
          </w:p>
        </w:tc>
        <w:tc>
          <w:tcPr>
            <w:tcW w:w="992" w:type="dxa"/>
          </w:tcPr>
          <w:p w14:paraId="618F9A30" w14:textId="1864C070" w:rsidR="00085980" w:rsidRPr="0023490C" w:rsidRDefault="00D5234E" w:rsidP="00085980">
            <w:pPr>
              <w:rPr>
                <w:rFonts w:cstheme="minorHAnsi"/>
              </w:rPr>
            </w:pPr>
            <w:r w:rsidRPr="0023490C">
              <w:rPr>
                <w:rFonts w:cstheme="minorHAnsi"/>
              </w:rPr>
              <w:t>Possible negative impact</w:t>
            </w:r>
          </w:p>
          <w:p w14:paraId="618F9A31" w14:textId="77777777" w:rsidR="006A027C" w:rsidRPr="0023490C" w:rsidRDefault="006A027C" w:rsidP="00085980">
            <w:pPr>
              <w:rPr>
                <w:rFonts w:cstheme="minorHAnsi"/>
              </w:rPr>
            </w:pPr>
          </w:p>
        </w:tc>
        <w:tc>
          <w:tcPr>
            <w:tcW w:w="2835" w:type="dxa"/>
          </w:tcPr>
          <w:p w14:paraId="1612D4AA" w14:textId="45A56910" w:rsidR="009614A3" w:rsidRDefault="00F60566" w:rsidP="00B653E7">
            <w:pPr>
              <w:rPr>
                <w:rFonts w:cstheme="minorHAnsi"/>
              </w:rPr>
            </w:pPr>
            <w:r w:rsidRPr="0023490C">
              <w:rPr>
                <w:rFonts w:cstheme="minorHAnsi"/>
              </w:rPr>
              <w:t>The s</w:t>
            </w:r>
            <w:r w:rsidR="00EE724A">
              <w:rPr>
                <w:rFonts w:cstheme="minorHAnsi"/>
              </w:rPr>
              <w:t>econdments</w:t>
            </w:r>
            <w:r w:rsidR="005A24D8" w:rsidRPr="0023490C">
              <w:rPr>
                <w:rFonts w:cstheme="minorHAnsi"/>
              </w:rPr>
              <w:t xml:space="preserve"> </w:t>
            </w:r>
            <w:r w:rsidR="00136E27">
              <w:rPr>
                <w:rFonts w:cstheme="minorHAnsi"/>
              </w:rPr>
              <w:t xml:space="preserve">may </w:t>
            </w:r>
            <w:r w:rsidR="005A24D8" w:rsidRPr="0023490C">
              <w:rPr>
                <w:rFonts w:cstheme="minorHAnsi"/>
              </w:rPr>
              <w:t>include</w:t>
            </w:r>
            <w:r w:rsidR="003B33D5" w:rsidRPr="0023490C">
              <w:rPr>
                <w:rFonts w:cstheme="minorHAnsi"/>
              </w:rPr>
              <w:t xml:space="preserve"> </w:t>
            </w:r>
            <w:r w:rsidR="00EE724A">
              <w:rPr>
                <w:rFonts w:cstheme="minorHAnsi"/>
              </w:rPr>
              <w:t>working in facilities or using equipment and resources which aren’t adapted for people with disabilities.</w:t>
            </w:r>
          </w:p>
          <w:p w14:paraId="08FD2756" w14:textId="77777777" w:rsidR="009614A3" w:rsidRDefault="009614A3" w:rsidP="00B653E7">
            <w:pPr>
              <w:rPr>
                <w:rFonts w:cstheme="minorHAnsi"/>
              </w:rPr>
            </w:pPr>
          </w:p>
          <w:p w14:paraId="55A48360" w14:textId="1ED9E808" w:rsidR="00085980" w:rsidRPr="0023490C" w:rsidRDefault="00D1555D" w:rsidP="00B653E7">
            <w:pPr>
              <w:rPr>
                <w:rFonts w:cstheme="minorHAnsi"/>
              </w:rPr>
            </w:pPr>
            <w:r>
              <w:rPr>
                <w:rFonts w:cstheme="minorHAnsi"/>
              </w:rPr>
              <w:t xml:space="preserve">In case of </w:t>
            </w:r>
            <w:r w:rsidR="00213148" w:rsidRPr="0023490C">
              <w:rPr>
                <w:rFonts w:cstheme="minorHAnsi"/>
              </w:rPr>
              <w:t>direct</w:t>
            </w:r>
            <w:r w:rsidR="00E33140">
              <w:rPr>
                <w:rFonts w:cstheme="minorHAnsi"/>
              </w:rPr>
              <w:t xml:space="preserve"> (i.e. </w:t>
            </w:r>
            <w:r w:rsidR="009614A3">
              <w:rPr>
                <w:rFonts w:cstheme="minorHAnsi"/>
              </w:rPr>
              <w:t>in-person</w:t>
            </w:r>
            <w:r w:rsidR="00E33140">
              <w:rPr>
                <w:rFonts w:cstheme="minorHAnsi"/>
              </w:rPr>
              <w:t>)</w:t>
            </w:r>
            <w:r w:rsidR="00213148" w:rsidRPr="0023490C">
              <w:rPr>
                <w:rFonts w:cstheme="minorHAnsi"/>
              </w:rPr>
              <w:t xml:space="preserve"> </w:t>
            </w:r>
            <w:proofErr w:type="gramStart"/>
            <w:r w:rsidR="00213148" w:rsidRPr="0023490C">
              <w:rPr>
                <w:rFonts w:cstheme="minorHAnsi"/>
              </w:rPr>
              <w:t>interactions</w:t>
            </w:r>
            <w:r>
              <w:rPr>
                <w:rFonts w:cstheme="minorHAnsi"/>
              </w:rPr>
              <w:t>,</w:t>
            </w:r>
            <w:r w:rsidR="00213148" w:rsidRPr="0023490C">
              <w:rPr>
                <w:rFonts w:cstheme="minorHAnsi"/>
              </w:rPr>
              <w:t xml:space="preserve"> </w:t>
            </w:r>
            <w:r w:rsidR="0099741B">
              <w:rPr>
                <w:rFonts w:cstheme="minorHAnsi"/>
              </w:rPr>
              <w:t xml:space="preserve"> </w:t>
            </w:r>
            <w:r w:rsidR="00021788" w:rsidRPr="0023490C">
              <w:rPr>
                <w:rFonts w:cstheme="minorHAnsi"/>
              </w:rPr>
              <w:t>participants</w:t>
            </w:r>
            <w:proofErr w:type="gramEnd"/>
            <w:r w:rsidR="00021788" w:rsidRPr="0023490C">
              <w:rPr>
                <w:rFonts w:cstheme="minorHAnsi"/>
              </w:rPr>
              <w:t xml:space="preserve"> with </w:t>
            </w:r>
            <w:r w:rsidR="00E13801">
              <w:rPr>
                <w:rFonts w:cstheme="minorHAnsi"/>
              </w:rPr>
              <w:t xml:space="preserve">specific </w:t>
            </w:r>
            <w:r w:rsidR="00021788" w:rsidRPr="0023490C">
              <w:rPr>
                <w:rFonts w:cstheme="minorHAnsi"/>
              </w:rPr>
              <w:t xml:space="preserve">accessibility </w:t>
            </w:r>
            <w:r w:rsidR="00402F8C">
              <w:rPr>
                <w:rFonts w:cstheme="minorHAnsi"/>
              </w:rPr>
              <w:t>co</w:t>
            </w:r>
            <w:r w:rsidR="005E3D0C">
              <w:rPr>
                <w:rFonts w:cstheme="minorHAnsi"/>
              </w:rPr>
              <w:t>n</w:t>
            </w:r>
            <w:r w:rsidR="00402F8C">
              <w:rPr>
                <w:rFonts w:cstheme="minorHAnsi"/>
              </w:rPr>
              <w:t>straints</w:t>
            </w:r>
            <w:r w:rsidR="00021788" w:rsidRPr="0023490C">
              <w:rPr>
                <w:rFonts w:cstheme="minorHAnsi"/>
              </w:rPr>
              <w:t xml:space="preserve"> may be disinclined to participate</w:t>
            </w:r>
            <w:r>
              <w:rPr>
                <w:rFonts w:cstheme="minorHAnsi"/>
              </w:rPr>
              <w:t xml:space="preserve"> unless reasonable adjustments are made</w:t>
            </w:r>
            <w:r w:rsidR="005428BF" w:rsidRPr="0023490C">
              <w:rPr>
                <w:rFonts w:cstheme="minorHAnsi"/>
              </w:rPr>
              <w:t>.</w:t>
            </w:r>
            <w:r w:rsidR="0093119A" w:rsidRPr="0023490C">
              <w:rPr>
                <w:rFonts w:cstheme="minorHAnsi"/>
              </w:rPr>
              <w:t xml:space="preserve"> </w:t>
            </w:r>
          </w:p>
          <w:p w14:paraId="7254DCEE" w14:textId="77777777" w:rsidR="005A24D8" w:rsidRPr="0023490C" w:rsidRDefault="005A24D8" w:rsidP="00B653E7">
            <w:pPr>
              <w:rPr>
                <w:rFonts w:cstheme="minorHAnsi"/>
              </w:rPr>
            </w:pPr>
          </w:p>
          <w:p w14:paraId="274D1B29" w14:textId="66582E52" w:rsidR="005A24D8" w:rsidRDefault="5A05808C" w:rsidP="5B037A42">
            <w:r w:rsidRPr="5B037A42">
              <w:lastRenderedPageBreak/>
              <w:t xml:space="preserve">Documents and materials </w:t>
            </w:r>
            <w:r w:rsidR="5D17BFB5" w:rsidRPr="5B037A42">
              <w:t xml:space="preserve">need to be accessible.  </w:t>
            </w:r>
          </w:p>
          <w:p w14:paraId="2AA7D73F" w14:textId="77777777" w:rsidR="001C6700" w:rsidRDefault="001C6700" w:rsidP="00B653E7">
            <w:pPr>
              <w:rPr>
                <w:rFonts w:cstheme="minorHAnsi"/>
              </w:rPr>
            </w:pPr>
          </w:p>
          <w:p w14:paraId="618F9A32" w14:textId="3F1DB621" w:rsidR="001C6700" w:rsidRPr="0023490C" w:rsidRDefault="001C6700" w:rsidP="00B653E7">
            <w:pPr>
              <w:rPr>
                <w:rFonts w:cstheme="minorHAnsi"/>
              </w:rPr>
            </w:pPr>
          </w:p>
        </w:tc>
        <w:tc>
          <w:tcPr>
            <w:tcW w:w="3634" w:type="dxa"/>
          </w:tcPr>
          <w:p w14:paraId="451F2540" w14:textId="76B855EF" w:rsidR="00EB5ACF" w:rsidRDefault="00EB5ACF" w:rsidP="0094017F">
            <w:r>
              <w:lastRenderedPageBreak/>
              <w:t>AHRC and UKRI gives the applicants and partner organisation a great flexibility to design</w:t>
            </w:r>
            <w:r w:rsidRPr="5B037A42">
              <w:t xml:space="preserve"> the</w:t>
            </w:r>
            <w:r>
              <w:t xml:space="preserve"> secondment </w:t>
            </w:r>
            <w:r w:rsidRPr="5B037A42">
              <w:t>to allow participation</w:t>
            </w:r>
            <w:r>
              <w:t xml:space="preserve"> of</w:t>
            </w:r>
            <w:r w:rsidR="00E8288F">
              <w:t xml:space="preserve"> </w:t>
            </w:r>
            <w:r>
              <w:t xml:space="preserve">disabled people. We encourage part-time and hybrid arrangements and we set up a wide period bracket of </w:t>
            </w:r>
            <w:r w:rsidR="00DD380A">
              <w:t xml:space="preserve">three </w:t>
            </w:r>
            <w:r>
              <w:t xml:space="preserve">months to </w:t>
            </w:r>
            <w:r w:rsidR="00DD380A">
              <w:t>three</w:t>
            </w:r>
            <w:r>
              <w:t xml:space="preserve"> years for the pilot with inclusivity in mind.</w:t>
            </w:r>
          </w:p>
          <w:p w14:paraId="22EDFE9F" w14:textId="77777777" w:rsidR="00EB5ACF" w:rsidRDefault="00EB5ACF" w:rsidP="0094017F"/>
          <w:p w14:paraId="3514E473" w14:textId="48300EE6" w:rsidR="00D1555D" w:rsidRDefault="00EB5ACF" w:rsidP="0094017F">
            <w:r>
              <w:t xml:space="preserve">The </w:t>
            </w:r>
            <w:proofErr w:type="spellStart"/>
            <w:r>
              <w:t>the</w:t>
            </w:r>
            <w:proofErr w:type="spellEnd"/>
            <w:r>
              <w:t xml:space="preserve"> call </w:t>
            </w:r>
            <w:r w:rsidR="00CB2A6A">
              <w:t xml:space="preserve">will </w:t>
            </w:r>
            <w:r>
              <w:t>be live</w:t>
            </w:r>
            <w:r w:rsidR="00CB2A6A">
              <w:t xml:space="preserve"> for a longer than usual time</w:t>
            </w:r>
            <w:r>
              <w:t xml:space="preserve"> – </w:t>
            </w:r>
            <w:proofErr w:type="gramStart"/>
            <w:r w:rsidR="00DD380A">
              <w:t xml:space="preserve">five </w:t>
            </w:r>
            <w:r>
              <w:t xml:space="preserve"> months</w:t>
            </w:r>
            <w:proofErr w:type="gramEnd"/>
            <w:r>
              <w:t xml:space="preserve"> –  </w:t>
            </w:r>
            <w:r w:rsidR="00CB2A6A">
              <w:t xml:space="preserve">which should </w:t>
            </w:r>
            <w:r>
              <w:t xml:space="preserve">allow </w:t>
            </w:r>
            <w:r w:rsidR="00CB2A6A">
              <w:t xml:space="preserve">applicants with </w:t>
            </w:r>
            <w:r>
              <w:t>disab</w:t>
            </w:r>
            <w:r w:rsidR="00CB2A6A">
              <w:t>ilities</w:t>
            </w:r>
            <w:r>
              <w:t xml:space="preserve"> </w:t>
            </w:r>
            <w:r w:rsidR="00CB2A6A">
              <w:t xml:space="preserve">time </w:t>
            </w:r>
            <w:r>
              <w:t xml:space="preserve">to obtain support in the application writing process at </w:t>
            </w:r>
            <w:r>
              <w:lastRenderedPageBreak/>
              <w:t>their organisations</w:t>
            </w:r>
            <w:r w:rsidR="00CB2A6A">
              <w:t xml:space="preserve"> and to discuss suitable working arrangements for their proposed secondment</w:t>
            </w:r>
            <w:r>
              <w:t xml:space="preserve">. </w:t>
            </w:r>
            <w:r w:rsidR="00EE724A">
              <w:t xml:space="preserve"> </w:t>
            </w:r>
          </w:p>
          <w:p w14:paraId="209AD334" w14:textId="77777777" w:rsidR="00D1555D" w:rsidRDefault="00D1555D" w:rsidP="0094017F"/>
          <w:p w14:paraId="289FC2E0" w14:textId="07DE49A9" w:rsidR="0094017F" w:rsidRDefault="0094017F" w:rsidP="0094017F">
            <w:r>
              <w:t>There is a risk of low representation</w:t>
            </w:r>
            <w:r w:rsidRPr="7777C053">
              <w:t xml:space="preserve"> of </w:t>
            </w:r>
            <w:r>
              <w:t>people with disabilities among the applicants and successful candidates.</w:t>
            </w:r>
            <w:r w:rsidR="00ED5A6F">
              <w:t xml:space="preserve"> To avoid this, we will advertise through UKRI channels which are designed with accessibility in mind</w:t>
            </w:r>
            <w:r w:rsidR="001860F0">
              <w:t>.</w:t>
            </w:r>
            <w:r w:rsidR="00ED5A6F">
              <w:t xml:space="preserve"> </w:t>
            </w:r>
            <w:r w:rsidR="001860F0">
              <w:t xml:space="preserve">We will also share the opportunity with relevant </w:t>
            </w:r>
            <w:r w:rsidR="001860F0" w:rsidRPr="001860F0">
              <w:t>organisations</w:t>
            </w:r>
            <w:r w:rsidR="00ED5A6F" w:rsidRPr="001860F0">
              <w:t xml:space="preserve"> </w:t>
            </w:r>
            <w:r w:rsidR="001860F0" w:rsidRPr="001860F0">
              <w:t>and stakeholders</w:t>
            </w:r>
            <w:r w:rsidR="00ED5A6F" w:rsidRPr="001860F0">
              <w:t xml:space="preserve">. </w:t>
            </w:r>
            <w:r w:rsidR="00ED5A6F">
              <w:t xml:space="preserve">As this is a </w:t>
            </w:r>
            <w:proofErr w:type="gramStart"/>
            <w:r w:rsidR="00ED5A6F">
              <w:t>pilot</w:t>
            </w:r>
            <w:proofErr w:type="gramEnd"/>
            <w:r w:rsidR="00ED5A6F">
              <w:t xml:space="preserve"> we will monitor outcomes.</w:t>
            </w:r>
            <w:r>
              <w:t xml:space="preserve"> We will use lessons learned from the pilot call to decide if positive action should be undertaken within any future Innovation Scholars calls for Creative Industries to attract candidates with disabilities. </w:t>
            </w:r>
          </w:p>
          <w:p w14:paraId="50A87FF6" w14:textId="1403E0DF" w:rsidR="00EE724A" w:rsidRDefault="00EE724A" w:rsidP="5B037A42"/>
          <w:p w14:paraId="490AC216" w14:textId="76130DE7" w:rsidR="00B55E94" w:rsidRDefault="00B55E94" w:rsidP="00B653E7">
            <w:pPr>
              <w:rPr>
                <w:rFonts w:cstheme="minorHAnsi"/>
              </w:rPr>
            </w:pPr>
            <w:r w:rsidRPr="00B55E94">
              <w:rPr>
                <w:rFonts w:cstheme="minorHAnsi"/>
              </w:rPr>
              <w:t xml:space="preserve">Online </w:t>
            </w:r>
            <w:r w:rsidR="00141DE9">
              <w:rPr>
                <w:rFonts w:cstheme="minorHAnsi"/>
              </w:rPr>
              <w:t>plat</w:t>
            </w:r>
            <w:r w:rsidRPr="00B55E94">
              <w:rPr>
                <w:rFonts w:cstheme="minorHAnsi"/>
              </w:rPr>
              <w:t>forms of eng</w:t>
            </w:r>
            <w:r w:rsidR="008C2DFA">
              <w:rPr>
                <w:rFonts w:cstheme="minorHAnsi"/>
              </w:rPr>
              <w:t>agem</w:t>
            </w:r>
            <w:r w:rsidR="00141DE9">
              <w:rPr>
                <w:rFonts w:cstheme="minorHAnsi"/>
              </w:rPr>
              <w:t>ent</w:t>
            </w:r>
            <w:r w:rsidRPr="00B55E94">
              <w:rPr>
                <w:rFonts w:cstheme="minorHAnsi"/>
              </w:rPr>
              <w:t xml:space="preserve"> and participation (</w:t>
            </w:r>
            <w:proofErr w:type="gramStart"/>
            <w:r w:rsidRPr="00B55E94">
              <w:rPr>
                <w:rFonts w:cstheme="minorHAnsi"/>
              </w:rPr>
              <w:t>e.g.</w:t>
            </w:r>
            <w:proofErr w:type="gramEnd"/>
            <w:r w:rsidRPr="00B55E94">
              <w:rPr>
                <w:rFonts w:cstheme="minorHAnsi"/>
              </w:rPr>
              <w:t xml:space="preserve"> Zoom) can</w:t>
            </w:r>
            <w:r w:rsidR="001860F0">
              <w:rPr>
                <w:rFonts w:cstheme="minorHAnsi"/>
              </w:rPr>
              <w:t xml:space="preserve"> remove</w:t>
            </w:r>
            <w:r w:rsidRPr="00B55E94">
              <w:rPr>
                <w:rFonts w:cstheme="minorHAnsi"/>
              </w:rPr>
              <w:t xml:space="preserve"> physical constraints </w:t>
            </w:r>
            <w:r w:rsidR="00141DE9">
              <w:rPr>
                <w:rFonts w:cstheme="minorHAnsi"/>
              </w:rPr>
              <w:t>and enable greater accessibility</w:t>
            </w:r>
            <w:r w:rsidR="00466DFA">
              <w:rPr>
                <w:rFonts w:cstheme="minorHAnsi"/>
              </w:rPr>
              <w:t xml:space="preserve"> for people with mobility issues</w:t>
            </w:r>
            <w:r w:rsidR="00141DE9">
              <w:rPr>
                <w:rFonts w:cstheme="minorHAnsi"/>
              </w:rPr>
              <w:t>. The use of these platforms will be encourage</w:t>
            </w:r>
            <w:r w:rsidR="00EC2824">
              <w:rPr>
                <w:rFonts w:cstheme="minorHAnsi"/>
              </w:rPr>
              <w:t>d</w:t>
            </w:r>
            <w:r w:rsidR="000F51CC">
              <w:rPr>
                <w:rFonts w:cstheme="minorHAnsi"/>
              </w:rPr>
              <w:t>, but with due consideration to the needs of people who find vi</w:t>
            </w:r>
            <w:r w:rsidR="000A7B9E">
              <w:rPr>
                <w:rFonts w:cstheme="minorHAnsi"/>
              </w:rPr>
              <w:t>d</w:t>
            </w:r>
            <w:r w:rsidR="000F51CC">
              <w:rPr>
                <w:rFonts w:cstheme="minorHAnsi"/>
              </w:rPr>
              <w:t xml:space="preserve">eoconferencing challenging </w:t>
            </w:r>
            <w:r w:rsidR="009B0643">
              <w:rPr>
                <w:rFonts w:cstheme="minorHAnsi"/>
              </w:rPr>
              <w:t>(</w:t>
            </w:r>
            <w:proofErr w:type="gramStart"/>
            <w:r w:rsidR="009B0643">
              <w:rPr>
                <w:rFonts w:cstheme="minorHAnsi"/>
              </w:rPr>
              <w:t>e.g.</w:t>
            </w:r>
            <w:proofErr w:type="gramEnd"/>
            <w:r w:rsidR="009B0643">
              <w:rPr>
                <w:rFonts w:cstheme="minorHAnsi"/>
              </w:rPr>
              <w:t xml:space="preserve"> </w:t>
            </w:r>
            <w:r w:rsidR="000F51CC">
              <w:rPr>
                <w:rFonts w:cstheme="minorHAnsi"/>
              </w:rPr>
              <w:t xml:space="preserve">due to </w:t>
            </w:r>
            <w:r w:rsidR="009B0643">
              <w:rPr>
                <w:rFonts w:cstheme="minorHAnsi"/>
              </w:rPr>
              <w:t>being neurodivergent or other reasons)</w:t>
            </w:r>
            <w:r w:rsidR="000F51CC">
              <w:rPr>
                <w:rFonts w:cstheme="minorHAnsi"/>
              </w:rPr>
              <w:t xml:space="preserve">. </w:t>
            </w:r>
            <w:r w:rsidR="005E3D0C">
              <w:rPr>
                <w:rFonts w:cstheme="minorHAnsi"/>
              </w:rPr>
              <w:t xml:space="preserve"> </w:t>
            </w:r>
          </w:p>
          <w:p w14:paraId="5FAF4243" w14:textId="77777777" w:rsidR="00085980" w:rsidRDefault="00085980" w:rsidP="00EE724A">
            <w:pPr>
              <w:rPr>
                <w:rFonts w:cstheme="minorHAnsi"/>
              </w:rPr>
            </w:pPr>
          </w:p>
          <w:p w14:paraId="618DDCD4" w14:textId="29352CAB" w:rsidR="00EE724A" w:rsidRDefault="00EE724A" w:rsidP="00EE724A">
            <w:bookmarkStart w:id="0" w:name="_Hlk81897761"/>
            <w:r>
              <w:t>Applicants and their receiving organisations should discuss any accessibility needs in confidence. Following such co</w:t>
            </w:r>
            <w:r w:rsidR="00466DFA">
              <w:t>n</w:t>
            </w:r>
            <w:r>
              <w:t>v</w:t>
            </w:r>
            <w:r w:rsidR="00466DFA">
              <w:t>er</w:t>
            </w:r>
            <w:r>
              <w:t xml:space="preserve">sations, AHRC expects efforts to </w:t>
            </w:r>
            <w:r w:rsidRPr="5B037A42">
              <w:t xml:space="preserve">be made </w:t>
            </w:r>
            <w:r>
              <w:t xml:space="preserve">by receiving organisations to provide </w:t>
            </w:r>
            <w:r w:rsidRPr="5B037A42">
              <w:t>reasonable adjustments</w:t>
            </w:r>
            <w:r w:rsidR="00CD01C9">
              <w:t xml:space="preserve"> and a welcoming work culture</w:t>
            </w:r>
            <w:r w:rsidRPr="5B037A42">
              <w:t xml:space="preserve">. This </w:t>
            </w:r>
            <w:r>
              <w:t xml:space="preserve">should </w:t>
            </w:r>
            <w:r w:rsidRPr="5B037A42">
              <w:t xml:space="preserve">be </w:t>
            </w:r>
            <w:r w:rsidR="00EB5ACF">
              <w:t xml:space="preserve">compliant with 2010 Equality Act </w:t>
            </w:r>
            <w:r w:rsidR="00E57B96">
              <w:t>a</w:t>
            </w:r>
            <w:r w:rsidR="00EB5ACF">
              <w:t xml:space="preserve">nd EDI policies at receiving </w:t>
            </w:r>
            <w:r w:rsidR="00EB5ACF" w:rsidRPr="5B037A42">
              <w:t>organisation</w:t>
            </w:r>
            <w:r w:rsidR="00EB5ACF">
              <w:t xml:space="preserve">s, and inspired by </w:t>
            </w:r>
            <w:r w:rsidRPr="5B037A42">
              <w:t xml:space="preserve">UKRI’s policies and approach to equality, </w:t>
            </w:r>
            <w:proofErr w:type="gramStart"/>
            <w:r w:rsidRPr="5B037A42">
              <w:t>diversity</w:t>
            </w:r>
            <w:proofErr w:type="gramEnd"/>
            <w:r w:rsidRPr="5B037A42">
              <w:t xml:space="preserve"> and inclusion</w:t>
            </w:r>
            <w:r w:rsidR="00EB5ACF">
              <w:t>.</w:t>
            </w:r>
            <w:r w:rsidRPr="5B037A42">
              <w:t xml:space="preserve"> </w:t>
            </w:r>
          </w:p>
          <w:p w14:paraId="2B4A1594" w14:textId="73BCDEAF" w:rsidR="00B247AA" w:rsidRDefault="00B247AA" w:rsidP="00EE724A"/>
          <w:p w14:paraId="2FB7C33B" w14:textId="5FB52352" w:rsidR="00B247AA" w:rsidRDefault="00B247AA" w:rsidP="00EE724A">
            <w:r>
              <w:t xml:space="preserve">Any travel and </w:t>
            </w:r>
            <w:r w:rsidRPr="001860F0">
              <w:t>subsi</w:t>
            </w:r>
            <w:r w:rsidR="00985758" w:rsidRPr="001860F0">
              <w:t>s</w:t>
            </w:r>
            <w:r w:rsidRPr="001860F0">
              <w:t xml:space="preserve">tence </w:t>
            </w:r>
            <w:r>
              <w:t xml:space="preserve">expenses beyond the most economic level which are incurred due to a disability </w:t>
            </w:r>
            <w:r w:rsidR="00CB2A6A">
              <w:t>can be requested in, and</w:t>
            </w:r>
            <w:r>
              <w:t xml:space="preserve"> covered by</w:t>
            </w:r>
            <w:r w:rsidR="00CB2A6A">
              <w:t>,</w:t>
            </w:r>
            <w:r>
              <w:t xml:space="preserve"> the secondment grant.</w:t>
            </w:r>
          </w:p>
          <w:bookmarkEnd w:id="0"/>
          <w:p w14:paraId="618F9A33" w14:textId="2E67D04F" w:rsidR="00EE724A" w:rsidRPr="0023490C" w:rsidRDefault="00EE724A" w:rsidP="00EE724A">
            <w:pPr>
              <w:rPr>
                <w:rFonts w:cstheme="minorHAnsi"/>
              </w:rPr>
            </w:pPr>
          </w:p>
        </w:tc>
      </w:tr>
      <w:tr w:rsidR="00335B69" w:rsidRPr="00322D59" w14:paraId="618F9A3A" w14:textId="77777777" w:rsidTr="00335B69">
        <w:tc>
          <w:tcPr>
            <w:tcW w:w="1555" w:type="dxa"/>
            <w:shd w:val="clear" w:color="auto" w:fill="C6D9F1" w:themeFill="text2" w:themeFillTint="33"/>
          </w:tcPr>
          <w:p w14:paraId="618F9A35" w14:textId="77777777" w:rsidR="00085980" w:rsidRPr="00322D59" w:rsidRDefault="00085980" w:rsidP="00B653E7">
            <w:pPr>
              <w:rPr>
                <w:rFonts w:cstheme="minorHAnsi"/>
                <w:b/>
                <w:color w:val="000000" w:themeColor="text1"/>
              </w:rPr>
            </w:pPr>
            <w:r w:rsidRPr="00322D59">
              <w:rPr>
                <w:rFonts w:cstheme="minorHAnsi"/>
                <w:b/>
                <w:color w:val="000000" w:themeColor="text1"/>
              </w:rPr>
              <w:lastRenderedPageBreak/>
              <w:t>Gender reassignment</w:t>
            </w:r>
          </w:p>
        </w:tc>
        <w:tc>
          <w:tcPr>
            <w:tcW w:w="992" w:type="dxa"/>
          </w:tcPr>
          <w:p w14:paraId="618F9A36" w14:textId="3AD6353E" w:rsidR="00085980" w:rsidRPr="00761B81" w:rsidRDefault="00CE1194" w:rsidP="00085980">
            <w:pPr>
              <w:rPr>
                <w:rFonts w:cstheme="minorHAnsi"/>
              </w:rPr>
            </w:pPr>
            <w:proofErr w:type="spellStart"/>
            <w:r w:rsidRPr="00761B81">
              <w:rPr>
                <w:rFonts w:cstheme="minorHAnsi"/>
              </w:rPr>
              <w:t>Po</w:t>
            </w:r>
            <w:r w:rsidR="00335B69">
              <w:rPr>
                <w:rFonts w:cstheme="minorHAnsi"/>
              </w:rPr>
              <w:t>ssible</w:t>
            </w:r>
            <w:r w:rsidRPr="00761B81">
              <w:rPr>
                <w:rFonts w:cstheme="minorHAnsi"/>
              </w:rPr>
              <w:t>negative</w:t>
            </w:r>
            <w:proofErr w:type="spellEnd"/>
            <w:r w:rsidRPr="00761B81">
              <w:rPr>
                <w:rFonts w:cstheme="minorHAnsi"/>
              </w:rPr>
              <w:t xml:space="preserve"> impact</w:t>
            </w:r>
          </w:p>
          <w:p w14:paraId="618F9A37" w14:textId="77777777" w:rsidR="006A027C" w:rsidRPr="00761B81" w:rsidRDefault="006A027C" w:rsidP="00085980">
            <w:pPr>
              <w:rPr>
                <w:rFonts w:cstheme="minorHAnsi"/>
              </w:rPr>
            </w:pPr>
          </w:p>
        </w:tc>
        <w:tc>
          <w:tcPr>
            <w:tcW w:w="2835" w:type="dxa"/>
          </w:tcPr>
          <w:p w14:paraId="20DF690F" w14:textId="108F96D8" w:rsidR="00085980" w:rsidRDefault="00466DFA" w:rsidP="00B653E7">
            <w:pPr>
              <w:rPr>
                <w:rFonts w:cstheme="minorHAnsi"/>
              </w:rPr>
            </w:pPr>
            <w:r>
              <w:rPr>
                <w:rFonts w:cstheme="minorHAnsi"/>
              </w:rPr>
              <w:t>Applicants who have had/are in the process of gender reassignment may feel disinclined to apply if our language isn’t sensitive. Therefore, g</w:t>
            </w:r>
            <w:r w:rsidR="004E1762" w:rsidRPr="00761B81">
              <w:rPr>
                <w:rFonts w:cstheme="minorHAnsi"/>
              </w:rPr>
              <w:t>ender ne</w:t>
            </w:r>
            <w:r w:rsidR="00185D70" w:rsidRPr="00761B81">
              <w:rPr>
                <w:rFonts w:cstheme="minorHAnsi"/>
              </w:rPr>
              <w:t xml:space="preserve">utral language is important </w:t>
            </w:r>
            <w:r w:rsidR="004138F9">
              <w:rPr>
                <w:rFonts w:cstheme="minorHAnsi"/>
              </w:rPr>
              <w:t xml:space="preserve">to </w:t>
            </w:r>
            <w:r w:rsidR="00401808" w:rsidRPr="00761B81">
              <w:rPr>
                <w:rFonts w:cstheme="minorHAnsi"/>
              </w:rPr>
              <w:t xml:space="preserve">support inclusivity, </w:t>
            </w:r>
            <w:proofErr w:type="gramStart"/>
            <w:r w:rsidR="00401808" w:rsidRPr="00761B81">
              <w:rPr>
                <w:rFonts w:cstheme="minorHAnsi"/>
              </w:rPr>
              <w:t>equality</w:t>
            </w:r>
            <w:proofErr w:type="gramEnd"/>
            <w:r w:rsidR="00401808" w:rsidRPr="00761B81">
              <w:rPr>
                <w:rFonts w:cstheme="minorHAnsi"/>
              </w:rPr>
              <w:t xml:space="preserve"> and representation. </w:t>
            </w:r>
          </w:p>
          <w:p w14:paraId="3E44F319" w14:textId="77777777" w:rsidR="00C73BA9" w:rsidRDefault="00C73BA9" w:rsidP="00B653E7">
            <w:pPr>
              <w:rPr>
                <w:rFonts w:cstheme="minorHAnsi"/>
              </w:rPr>
            </w:pPr>
          </w:p>
          <w:p w14:paraId="618F9A38" w14:textId="664A8D44" w:rsidR="00C73BA9" w:rsidRPr="00761B81" w:rsidRDefault="00C73BA9" w:rsidP="00B653E7">
            <w:pPr>
              <w:rPr>
                <w:rFonts w:cstheme="minorHAnsi"/>
              </w:rPr>
            </w:pPr>
            <w:r>
              <w:rPr>
                <w:rFonts w:cstheme="minorHAnsi"/>
              </w:rPr>
              <w:t xml:space="preserve">Applicants who have had/are in the process of gender reassignment might feel more </w:t>
            </w:r>
            <w:proofErr w:type="gramStart"/>
            <w:r>
              <w:rPr>
                <w:rFonts w:cstheme="minorHAnsi"/>
              </w:rPr>
              <w:t>comfortable  using</w:t>
            </w:r>
            <w:proofErr w:type="gramEnd"/>
            <w:r>
              <w:rPr>
                <w:rFonts w:cstheme="minorHAnsi"/>
              </w:rPr>
              <w:t xml:space="preserve"> gender-neutral facilities.</w:t>
            </w:r>
          </w:p>
        </w:tc>
        <w:tc>
          <w:tcPr>
            <w:tcW w:w="3634" w:type="dxa"/>
          </w:tcPr>
          <w:p w14:paraId="423A2F14" w14:textId="607EEDEA" w:rsidR="00085980" w:rsidRPr="00761B81" w:rsidRDefault="00466DFA" w:rsidP="00B653E7">
            <w:pPr>
              <w:rPr>
                <w:rFonts w:cstheme="minorHAnsi"/>
                <w:bCs/>
              </w:rPr>
            </w:pPr>
            <w:r>
              <w:rPr>
                <w:rFonts w:cstheme="minorHAnsi"/>
                <w:bCs/>
              </w:rPr>
              <w:t xml:space="preserve">AHRC </w:t>
            </w:r>
            <w:r w:rsidR="00ED1F43" w:rsidRPr="00761B81">
              <w:rPr>
                <w:rFonts w:cstheme="minorHAnsi"/>
                <w:bCs/>
              </w:rPr>
              <w:t>will use gender</w:t>
            </w:r>
            <w:r w:rsidR="004138F9">
              <w:rPr>
                <w:rFonts w:cstheme="minorHAnsi"/>
                <w:bCs/>
              </w:rPr>
              <w:t>-</w:t>
            </w:r>
            <w:r>
              <w:rPr>
                <w:rFonts w:cstheme="minorHAnsi"/>
                <w:bCs/>
              </w:rPr>
              <w:t>neutral</w:t>
            </w:r>
            <w:r w:rsidR="00ED1F43" w:rsidRPr="00761B81">
              <w:rPr>
                <w:rFonts w:cstheme="minorHAnsi"/>
                <w:bCs/>
              </w:rPr>
              <w:t xml:space="preserve"> </w:t>
            </w:r>
            <w:r w:rsidR="00D1555D">
              <w:rPr>
                <w:rFonts w:cstheme="minorHAnsi"/>
                <w:bCs/>
              </w:rPr>
              <w:t xml:space="preserve">language, </w:t>
            </w:r>
            <w:proofErr w:type="gramStart"/>
            <w:r w:rsidR="00D1555D">
              <w:rPr>
                <w:rFonts w:cstheme="minorHAnsi"/>
                <w:bCs/>
              </w:rPr>
              <w:t>e.g.</w:t>
            </w:r>
            <w:proofErr w:type="gramEnd"/>
            <w:r w:rsidR="00D1555D">
              <w:rPr>
                <w:rFonts w:cstheme="minorHAnsi"/>
                <w:bCs/>
              </w:rPr>
              <w:t xml:space="preserve"> </w:t>
            </w:r>
            <w:r w:rsidR="00ED1F43" w:rsidRPr="00761B81">
              <w:rPr>
                <w:rFonts w:cstheme="minorHAnsi"/>
                <w:bCs/>
              </w:rPr>
              <w:t>pronouns</w:t>
            </w:r>
            <w:r>
              <w:rPr>
                <w:rFonts w:cstheme="minorHAnsi"/>
                <w:bCs/>
              </w:rPr>
              <w:t xml:space="preserve"> such as ‘they’ </w:t>
            </w:r>
            <w:r w:rsidR="00407749">
              <w:rPr>
                <w:rFonts w:cstheme="minorHAnsi"/>
                <w:bCs/>
              </w:rPr>
              <w:t xml:space="preserve">or ‘you’ </w:t>
            </w:r>
            <w:r>
              <w:rPr>
                <w:rFonts w:cstheme="minorHAnsi"/>
                <w:bCs/>
              </w:rPr>
              <w:t>instead of ‘he/she’</w:t>
            </w:r>
            <w:r w:rsidR="00D1555D">
              <w:rPr>
                <w:rFonts w:cstheme="minorHAnsi"/>
                <w:bCs/>
              </w:rPr>
              <w:t>,</w:t>
            </w:r>
            <w:r>
              <w:rPr>
                <w:rFonts w:cstheme="minorHAnsi"/>
                <w:bCs/>
              </w:rPr>
              <w:t xml:space="preserve"> in the call documents, in the interim reporting and in the end-of-award reporting</w:t>
            </w:r>
            <w:r w:rsidR="005A6711" w:rsidRPr="00761B81">
              <w:rPr>
                <w:rFonts w:cstheme="minorHAnsi"/>
                <w:bCs/>
              </w:rPr>
              <w:t xml:space="preserve">. </w:t>
            </w:r>
          </w:p>
          <w:p w14:paraId="50AF6ADE" w14:textId="77777777" w:rsidR="005A6711" w:rsidRPr="00761B81" w:rsidRDefault="005A6711" w:rsidP="00B653E7">
            <w:pPr>
              <w:rPr>
                <w:rFonts w:cstheme="minorHAnsi"/>
                <w:bCs/>
              </w:rPr>
            </w:pPr>
          </w:p>
          <w:p w14:paraId="71A3E394" w14:textId="77777777" w:rsidR="00F15B8A" w:rsidRDefault="00466DFA" w:rsidP="7777C053">
            <w:pPr>
              <w:rPr>
                <w:rFonts w:cstheme="minorHAnsi"/>
                <w:bCs/>
              </w:rPr>
            </w:pPr>
            <w:r>
              <w:rPr>
                <w:rFonts w:cstheme="minorHAnsi"/>
                <w:bCs/>
              </w:rPr>
              <w:t xml:space="preserve">By publishing this EIA, we will also encourage secondees and their receiving organisations to use </w:t>
            </w:r>
            <w:r w:rsidR="00121D72" w:rsidRPr="00761B81">
              <w:rPr>
                <w:rFonts w:cstheme="minorHAnsi"/>
                <w:bCs/>
              </w:rPr>
              <w:t>gender neutral language</w:t>
            </w:r>
            <w:r>
              <w:rPr>
                <w:rFonts w:cstheme="minorHAnsi"/>
                <w:bCs/>
              </w:rPr>
              <w:t xml:space="preserve"> throughout</w:t>
            </w:r>
            <w:r w:rsidR="00121D72" w:rsidRPr="00761B81">
              <w:rPr>
                <w:rFonts w:cstheme="minorHAnsi"/>
                <w:bCs/>
              </w:rPr>
              <w:t xml:space="preserve"> their interactions. </w:t>
            </w:r>
          </w:p>
          <w:p w14:paraId="45AF070C" w14:textId="77777777" w:rsidR="00F15B8A" w:rsidRDefault="00F15B8A" w:rsidP="7777C053">
            <w:pPr>
              <w:rPr>
                <w:rFonts w:cstheme="minorHAnsi"/>
                <w:bCs/>
              </w:rPr>
            </w:pPr>
          </w:p>
          <w:p w14:paraId="26679209" w14:textId="4020BC61" w:rsidR="006C0BC6" w:rsidRDefault="006C0BC6" w:rsidP="006C0BC6">
            <w:pPr>
              <w:rPr>
                <w:rFonts w:cstheme="minorHAnsi"/>
                <w:bCs/>
              </w:rPr>
            </w:pPr>
            <w:r>
              <w:rPr>
                <w:rFonts w:cstheme="minorHAnsi"/>
                <w:bCs/>
              </w:rPr>
              <w:t xml:space="preserve">We encourage receiving organisations to meet best practice in relation to the employment of transgender staff such as that laid out in the Government Equalities Office guidance on </w:t>
            </w:r>
            <w:hyperlink r:id="rId12" w:history="1">
              <w:r w:rsidR="00D35E9E">
                <w:rPr>
                  <w:rStyle w:val="Hyperlink"/>
                  <w:rFonts w:cstheme="minorHAnsi"/>
                  <w:bCs/>
                </w:rPr>
                <w:t>’</w:t>
              </w:r>
              <w:r w:rsidRPr="00335B69">
                <w:rPr>
                  <w:rStyle w:val="Hyperlink"/>
                  <w:rFonts w:cstheme="minorHAnsi"/>
                  <w:bCs/>
                </w:rPr>
                <w:t>The recruitment and retention of transgender staff</w:t>
              </w:r>
            </w:hyperlink>
            <w:r w:rsidR="00D35E9E">
              <w:rPr>
                <w:rFonts w:cstheme="minorHAnsi"/>
                <w:bCs/>
              </w:rPr>
              <w:t>’</w:t>
            </w:r>
            <w:r w:rsidR="0000786E">
              <w:rPr>
                <w:rFonts w:cstheme="minorHAnsi"/>
                <w:bCs/>
              </w:rPr>
              <w:t>.</w:t>
            </w:r>
          </w:p>
          <w:p w14:paraId="11CDBC33" w14:textId="00EEFFC4" w:rsidR="00CD01C9" w:rsidRDefault="00CD01C9" w:rsidP="006C0BC6">
            <w:r>
              <w:t xml:space="preserve">Applicants and their receiving organisations should discuss any personal needs based on this protected characteristic in confidence. Following such conversations, AHRC expects efforts to be made by receiving organisations to provide reasonable adjustments and a welcoming work culture. This should be </w:t>
            </w:r>
            <w:r w:rsidR="00DD380A">
              <w:t xml:space="preserve">compliant with </w:t>
            </w:r>
            <w:r w:rsidR="006C0BC6">
              <w:t xml:space="preserve">the </w:t>
            </w:r>
            <w:r>
              <w:t xml:space="preserve">EDI policies at </w:t>
            </w:r>
            <w:r w:rsidR="006C0BC6">
              <w:t xml:space="preserve">the </w:t>
            </w:r>
            <w:r>
              <w:t>receiving organisation</w:t>
            </w:r>
            <w:r w:rsidR="00DD380A">
              <w:t xml:space="preserve"> and inspired by </w:t>
            </w:r>
            <w:r w:rsidR="00DD380A">
              <w:t xml:space="preserve">UKRI’s policies and approach to equality, </w:t>
            </w:r>
            <w:proofErr w:type="gramStart"/>
            <w:r w:rsidR="00DD380A">
              <w:t>diversity</w:t>
            </w:r>
            <w:proofErr w:type="gramEnd"/>
            <w:r w:rsidR="00DD380A">
              <w:t xml:space="preserve"> and inclusion</w:t>
            </w:r>
            <w:r>
              <w:t>.</w:t>
            </w:r>
          </w:p>
          <w:p w14:paraId="618F9A39" w14:textId="1CB9B444" w:rsidR="005A6711" w:rsidRPr="00466DFA" w:rsidRDefault="005A6711" w:rsidP="7777C053">
            <w:pPr>
              <w:rPr>
                <w:rFonts w:cstheme="minorHAnsi"/>
                <w:bCs/>
              </w:rPr>
            </w:pPr>
          </w:p>
        </w:tc>
      </w:tr>
      <w:tr w:rsidR="00335B69" w:rsidRPr="00322D59" w14:paraId="618F9A40" w14:textId="77777777" w:rsidTr="00335B69">
        <w:tc>
          <w:tcPr>
            <w:tcW w:w="1555" w:type="dxa"/>
            <w:shd w:val="clear" w:color="auto" w:fill="C6D9F1" w:themeFill="text2" w:themeFillTint="33"/>
          </w:tcPr>
          <w:p w14:paraId="618F9A3B" w14:textId="77777777" w:rsidR="00085980" w:rsidRPr="00322D59" w:rsidRDefault="00085980" w:rsidP="00B653E7">
            <w:pPr>
              <w:rPr>
                <w:rFonts w:cstheme="minorHAnsi"/>
                <w:b/>
                <w:color w:val="000000" w:themeColor="text1"/>
              </w:rPr>
            </w:pPr>
            <w:r w:rsidRPr="00322D59">
              <w:rPr>
                <w:rFonts w:cstheme="minorHAnsi"/>
                <w:b/>
                <w:color w:val="000000" w:themeColor="text1"/>
              </w:rPr>
              <w:t>Marriage or civil partnership</w:t>
            </w:r>
          </w:p>
        </w:tc>
        <w:tc>
          <w:tcPr>
            <w:tcW w:w="992" w:type="dxa"/>
          </w:tcPr>
          <w:p w14:paraId="618F9A3C" w14:textId="5480ED1A" w:rsidR="00085980" w:rsidRPr="001C1946" w:rsidRDefault="001C1946" w:rsidP="00085980">
            <w:pPr>
              <w:rPr>
                <w:rFonts w:cstheme="minorHAnsi"/>
              </w:rPr>
            </w:pPr>
            <w:r w:rsidRPr="001C1946">
              <w:rPr>
                <w:rFonts w:cstheme="minorHAnsi"/>
              </w:rPr>
              <w:t>No impact</w:t>
            </w:r>
          </w:p>
          <w:p w14:paraId="618F9A3D" w14:textId="77777777" w:rsidR="006A027C" w:rsidRPr="001C1946" w:rsidRDefault="006A027C" w:rsidP="00085980">
            <w:pPr>
              <w:rPr>
                <w:rFonts w:cstheme="minorHAnsi"/>
              </w:rPr>
            </w:pPr>
          </w:p>
        </w:tc>
        <w:tc>
          <w:tcPr>
            <w:tcW w:w="2835" w:type="dxa"/>
          </w:tcPr>
          <w:p w14:paraId="618F9A3E" w14:textId="62AE5F9C" w:rsidR="00085980" w:rsidRPr="001C1946" w:rsidRDefault="00CC37AA" w:rsidP="00B653E7">
            <w:pPr>
              <w:rPr>
                <w:rFonts w:cstheme="minorHAnsi"/>
              </w:rPr>
            </w:pPr>
            <w:r>
              <w:rPr>
                <w:rFonts w:cstheme="minorHAnsi"/>
              </w:rPr>
              <w:t>The call is open to all eligible applicants and there are no barriers to those who are married or in a civil partnership apart from, potentially, the need to relocate for the duration of the secondment</w:t>
            </w:r>
            <w:r w:rsidR="00D1555D">
              <w:rPr>
                <w:rFonts w:cstheme="minorHAnsi"/>
              </w:rPr>
              <w:t xml:space="preserve"> and temporarily live away from their home and partner</w:t>
            </w:r>
            <w:r>
              <w:rPr>
                <w:rFonts w:cstheme="minorHAnsi"/>
              </w:rPr>
              <w:t xml:space="preserve">. </w:t>
            </w:r>
            <w:r w:rsidR="00F3218D" w:rsidRPr="00F3218D">
              <w:rPr>
                <w:rFonts w:cstheme="minorHAnsi"/>
              </w:rPr>
              <w:t xml:space="preserve">Data on participant’s </w:t>
            </w:r>
            <w:r w:rsidR="00F3218D">
              <w:rPr>
                <w:rFonts w:cstheme="minorHAnsi"/>
              </w:rPr>
              <w:t>mar</w:t>
            </w:r>
            <w:r w:rsidR="00466DFA">
              <w:rPr>
                <w:rFonts w:cstheme="minorHAnsi"/>
              </w:rPr>
              <w:t>i</w:t>
            </w:r>
            <w:r w:rsidR="00F3218D">
              <w:rPr>
                <w:rFonts w:cstheme="minorHAnsi"/>
              </w:rPr>
              <w:t>tal or partnership status</w:t>
            </w:r>
            <w:r w:rsidR="00F3218D" w:rsidRPr="00F3218D">
              <w:rPr>
                <w:rFonts w:cstheme="minorHAnsi"/>
              </w:rPr>
              <w:t xml:space="preserve"> will not be sourced</w:t>
            </w:r>
            <w:r>
              <w:rPr>
                <w:rFonts w:cstheme="minorHAnsi"/>
              </w:rPr>
              <w:t xml:space="preserve">. </w:t>
            </w:r>
            <w:r w:rsidR="00F3218D" w:rsidRPr="00F3218D">
              <w:rPr>
                <w:rFonts w:cstheme="minorHAnsi"/>
              </w:rPr>
              <w:t xml:space="preserve"> </w:t>
            </w:r>
          </w:p>
        </w:tc>
        <w:tc>
          <w:tcPr>
            <w:tcW w:w="3634" w:type="dxa"/>
          </w:tcPr>
          <w:p w14:paraId="4D2BBF0E" w14:textId="77777777" w:rsidR="00085980" w:rsidRDefault="00CC37AA" w:rsidP="00B653E7">
            <w:pPr>
              <w:rPr>
                <w:rFonts w:cstheme="minorHAnsi"/>
              </w:rPr>
            </w:pPr>
            <w:r>
              <w:rPr>
                <w:rFonts w:cstheme="minorHAnsi"/>
              </w:rPr>
              <w:t xml:space="preserve">Receiving organisations should agree if there is a need to relocate the secondee on a temporary basis with the secondee, in a way that’s sensitive to their family situation and civil partnership/marriage. </w:t>
            </w:r>
          </w:p>
          <w:p w14:paraId="6465006A" w14:textId="39FD6860" w:rsidR="00CD01C9" w:rsidRDefault="00CD01C9" w:rsidP="00CD01C9">
            <w:r>
              <w:t xml:space="preserve">Applicants and their receiving organisations should discuss any personal needs based on this protected characteristic in confidence. Following such conversations, AHRC expects efforts to be made by receiving organisations to provide reasonable adjustments and a welcoming work culture. This </w:t>
            </w:r>
            <w:proofErr w:type="gramStart"/>
            <w:r>
              <w:t xml:space="preserve">should be </w:t>
            </w:r>
            <w:r w:rsidR="00DD380A">
              <w:t>should be</w:t>
            </w:r>
            <w:proofErr w:type="gramEnd"/>
            <w:r w:rsidR="00DD380A">
              <w:t xml:space="preserve"> compliant with the EDI policies at the receiving organisation and inspired by UKRI’s </w:t>
            </w:r>
            <w:r w:rsidR="00DD380A">
              <w:lastRenderedPageBreak/>
              <w:t>policies and approach to equality, diversity and inclusion</w:t>
            </w:r>
            <w:r w:rsidR="00DD380A">
              <w:t xml:space="preserve">. </w:t>
            </w:r>
            <w:r>
              <w:t>informed by UKRI’s policies and approach</w:t>
            </w:r>
            <w:r w:rsidR="00DD380A">
              <w:t xml:space="preserve"> </w:t>
            </w:r>
            <w:r>
              <w:t xml:space="preserve">to equality, </w:t>
            </w:r>
            <w:proofErr w:type="gramStart"/>
            <w:r>
              <w:t>diversity</w:t>
            </w:r>
            <w:proofErr w:type="gramEnd"/>
            <w:r>
              <w:t xml:space="preserve"> and inclusion, as well as EDI policies at receiving organisations.</w:t>
            </w:r>
          </w:p>
          <w:p w14:paraId="618F9A3F" w14:textId="224D5FE4" w:rsidR="00CD01C9" w:rsidRPr="001C1946" w:rsidRDefault="00CD01C9" w:rsidP="00B653E7">
            <w:pPr>
              <w:rPr>
                <w:rFonts w:cstheme="minorHAnsi"/>
              </w:rPr>
            </w:pPr>
          </w:p>
        </w:tc>
      </w:tr>
      <w:tr w:rsidR="00335B69" w:rsidRPr="00322D59" w14:paraId="618F9A46" w14:textId="77777777" w:rsidTr="00335B69">
        <w:tc>
          <w:tcPr>
            <w:tcW w:w="1555" w:type="dxa"/>
            <w:shd w:val="clear" w:color="auto" w:fill="C6D9F1" w:themeFill="text2" w:themeFillTint="33"/>
          </w:tcPr>
          <w:p w14:paraId="618F9A41" w14:textId="77777777" w:rsidR="00085980" w:rsidRPr="00322D59" w:rsidRDefault="00085980" w:rsidP="00B653E7">
            <w:pPr>
              <w:rPr>
                <w:rFonts w:cstheme="minorHAnsi"/>
                <w:b/>
                <w:color w:val="000000" w:themeColor="text1"/>
              </w:rPr>
            </w:pPr>
            <w:r w:rsidRPr="00322D59">
              <w:rPr>
                <w:rFonts w:cstheme="minorHAnsi"/>
                <w:b/>
                <w:color w:val="000000" w:themeColor="text1"/>
              </w:rPr>
              <w:lastRenderedPageBreak/>
              <w:t>Pregnancy and maternity</w:t>
            </w:r>
          </w:p>
        </w:tc>
        <w:tc>
          <w:tcPr>
            <w:tcW w:w="992" w:type="dxa"/>
          </w:tcPr>
          <w:p w14:paraId="5DF73D79" w14:textId="77777777" w:rsidR="00E07164" w:rsidRDefault="00051EA8" w:rsidP="00085980">
            <w:pPr>
              <w:rPr>
                <w:rFonts w:cstheme="minorHAnsi"/>
              </w:rPr>
            </w:pPr>
            <w:r w:rsidRPr="00406F69">
              <w:rPr>
                <w:rFonts w:cstheme="minorHAnsi"/>
              </w:rPr>
              <w:t>Po</w:t>
            </w:r>
            <w:r w:rsidR="00E07164">
              <w:rPr>
                <w:rFonts w:cstheme="minorHAnsi"/>
              </w:rPr>
              <w:t>ssible</w:t>
            </w:r>
            <w:r w:rsidRPr="00406F69">
              <w:rPr>
                <w:rFonts w:cstheme="minorHAnsi"/>
              </w:rPr>
              <w:t xml:space="preserve"> negative</w:t>
            </w:r>
          </w:p>
          <w:p w14:paraId="618F9A43" w14:textId="553D6EFA" w:rsidR="006A027C" w:rsidRPr="00406F69" w:rsidRDefault="00E07164" w:rsidP="00085980">
            <w:pPr>
              <w:rPr>
                <w:rFonts w:cstheme="minorHAnsi"/>
              </w:rPr>
            </w:pPr>
            <w:r>
              <w:rPr>
                <w:rFonts w:cstheme="minorHAnsi"/>
              </w:rPr>
              <w:t>impact</w:t>
            </w:r>
            <w:r w:rsidR="003B7E30">
              <w:rPr>
                <w:rFonts w:cstheme="minorHAnsi"/>
              </w:rPr>
              <w:t xml:space="preserve"> </w:t>
            </w:r>
          </w:p>
        </w:tc>
        <w:tc>
          <w:tcPr>
            <w:tcW w:w="2835" w:type="dxa"/>
          </w:tcPr>
          <w:p w14:paraId="675DE4BD" w14:textId="63ADE7DD" w:rsidR="00CC5A0F" w:rsidRPr="00406F69" w:rsidRDefault="009652FE" w:rsidP="7777C053">
            <w:r w:rsidRPr="7777C053">
              <w:t xml:space="preserve">Pregnant </w:t>
            </w:r>
            <w:proofErr w:type="gramStart"/>
            <w:r w:rsidRPr="7777C053">
              <w:t xml:space="preserve">persons </w:t>
            </w:r>
            <w:r w:rsidR="00CC5A0F" w:rsidRPr="7777C053">
              <w:t xml:space="preserve"> who</w:t>
            </w:r>
            <w:proofErr w:type="gramEnd"/>
            <w:r w:rsidR="00CC5A0F" w:rsidRPr="7777C053">
              <w:t xml:space="preserve"> are on </w:t>
            </w:r>
            <w:r w:rsidR="00D1590C" w:rsidRPr="7777C053">
              <w:t xml:space="preserve">parental </w:t>
            </w:r>
            <w:r w:rsidR="00CC5A0F" w:rsidRPr="7777C053">
              <w:t>leave</w:t>
            </w:r>
            <w:r w:rsidR="2D0A84FB" w:rsidRPr="7777C053">
              <w:t xml:space="preserve">, and persons on parental leave, </w:t>
            </w:r>
            <w:r w:rsidRPr="7777C053">
              <w:t xml:space="preserve">may </w:t>
            </w:r>
            <w:r w:rsidR="00466DFA">
              <w:t xml:space="preserve">miss the application deadline whilst on leave. </w:t>
            </w:r>
          </w:p>
          <w:p w14:paraId="22A9A225" w14:textId="77777777" w:rsidR="00085980" w:rsidRDefault="00085980" w:rsidP="00B653E7">
            <w:pPr>
              <w:rPr>
                <w:rFonts w:cstheme="minorHAnsi"/>
              </w:rPr>
            </w:pPr>
          </w:p>
          <w:p w14:paraId="77D2A323" w14:textId="77777777" w:rsidR="00EE480D" w:rsidRDefault="5491E4F4" w:rsidP="5B037A42">
            <w:r w:rsidRPr="5B037A42">
              <w:t>Pregnant persons</w:t>
            </w:r>
            <w:r w:rsidR="000F51CC" w:rsidRPr="5B037A42">
              <w:t xml:space="preserve"> and persons with caring resp</w:t>
            </w:r>
            <w:r w:rsidR="31E3E5E3" w:rsidRPr="5B037A42">
              <w:t>o</w:t>
            </w:r>
            <w:r w:rsidR="000F51CC" w:rsidRPr="5B037A42">
              <w:t>nsibilities</w:t>
            </w:r>
            <w:r w:rsidRPr="5B037A42">
              <w:t xml:space="preserve"> may require additional </w:t>
            </w:r>
            <w:r w:rsidR="374993D2" w:rsidRPr="5B037A42">
              <w:t>adjustments to enable participation</w:t>
            </w:r>
            <w:r w:rsidR="1EFA5F1E" w:rsidRPr="5B037A42">
              <w:t xml:space="preserve"> in</w:t>
            </w:r>
            <w:r w:rsidR="002320E8">
              <w:t xml:space="preserve"> the secondments</w:t>
            </w:r>
            <w:r w:rsidR="1EFA5F1E" w:rsidRPr="5B037A42">
              <w:t xml:space="preserve">. </w:t>
            </w:r>
          </w:p>
          <w:p w14:paraId="5622D3B5" w14:textId="77777777" w:rsidR="003B7E30" w:rsidRDefault="003B7E30" w:rsidP="5B037A42"/>
          <w:p w14:paraId="618F9A44" w14:textId="56813F4B" w:rsidR="003B7E30" w:rsidRPr="00406F69" w:rsidRDefault="003B7E30" w:rsidP="5B037A42">
            <w:r>
              <w:t>On the other hand, the flexible nature of the scheme makes it inclusive and might appeal particularly to persons with caring responsibilities or pregnant</w:t>
            </w:r>
            <w:r w:rsidR="005B658E">
              <w:t>.</w:t>
            </w:r>
            <w:r>
              <w:t xml:space="preserve"> </w:t>
            </w:r>
          </w:p>
        </w:tc>
        <w:tc>
          <w:tcPr>
            <w:tcW w:w="3634" w:type="dxa"/>
          </w:tcPr>
          <w:p w14:paraId="5C5891A8" w14:textId="77777777" w:rsidR="00E07164" w:rsidRDefault="002320E8" w:rsidP="00840FBF">
            <w:r>
              <w:t>AHRC and UKRI gives the applicants and partner organisation a great flexibility to design</w:t>
            </w:r>
            <w:r w:rsidR="76AD6AED" w:rsidRPr="5B037A42">
              <w:t xml:space="preserve"> the</w:t>
            </w:r>
            <w:r>
              <w:t xml:space="preserve"> secondment </w:t>
            </w:r>
            <w:r w:rsidR="6D3F3C04" w:rsidRPr="5B037A42">
              <w:t>to</w:t>
            </w:r>
            <w:r w:rsidR="47280AD8" w:rsidRPr="5B037A42">
              <w:t xml:space="preserve"> </w:t>
            </w:r>
            <w:r w:rsidR="6D3F3C04" w:rsidRPr="5B037A42">
              <w:t>allow participation</w:t>
            </w:r>
            <w:r>
              <w:t xml:space="preserve"> of pregnant persons and persons with caring responsibilities</w:t>
            </w:r>
            <w:r w:rsidR="6D3F3C04" w:rsidRPr="5B037A42">
              <w:t xml:space="preserve">. </w:t>
            </w:r>
          </w:p>
          <w:p w14:paraId="31B85554" w14:textId="77777777" w:rsidR="00E07164" w:rsidRDefault="00E07164" w:rsidP="00840FBF"/>
          <w:p w14:paraId="2CACD150" w14:textId="4CD8BC30" w:rsidR="00335B69" w:rsidRDefault="00840FBF" w:rsidP="00840FBF">
            <w:r>
              <w:t xml:space="preserve">Secondees will be entitled to maternity and parental leave in line with their current terms and conditions of employment. </w:t>
            </w:r>
            <w:r w:rsidR="00B4015A">
              <w:t xml:space="preserve"> UKR</w:t>
            </w:r>
            <w:r w:rsidR="009C695D">
              <w:t>I</w:t>
            </w:r>
            <w:r w:rsidR="00B4015A">
              <w:t xml:space="preserve"> standard Terms &amp; Conditions of </w:t>
            </w:r>
            <w:proofErr w:type="spellStart"/>
            <w:r w:rsidR="00B4015A">
              <w:t>fEC</w:t>
            </w:r>
            <w:proofErr w:type="spellEnd"/>
            <w:r w:rsidR="00B4015A">
              <w:t xml:space="preserve"> Grants</w:t>
            </w:r>
            <w:r>
              <w:t xml:space="preserve"> will apply to awards</w:t>
            </w:r>
            <w:r w:rsidR="00335B69">
              <w:t>.</w:t>
            </w:r>
          </w:p>
          <w:p w14:paraId="1778D0E7" w14:textId="07AE53D5" w:rsidR="00840FBF" w:rsidRDefault="00840FBF" w:rsidP="00840FBF">
            <w:r>
              <w:t>AHRC will meet any additional parental leave costs that cannot be met within the announced grant cash</w:t>
            </w:r>
          </w:p>
          <w:p w14:paraId="7745985B" w14:textId="3935394B" w:rsidR="00335B69" w:rsidRDefault="00840FBF" w:rsidP="00840FBF">
            <w:r>
              <w:t>limit including Statutory Maternity, Paternity and Adoption Pay</w:t>
            </w:r>
            <w:r w:rsidR="00B4015A">
              <w:t xml:space="preserve"> for secondees who are directly incurred staff</w:t>
            </w:r>
            <w:r w:rsidR="00335B69">
              <w:t>. C</w:t>
            </w:r>
            <w:r>
              <w:t xml:space="preserve">osts for </w:t>
            </w:r>
            <w:r w:rsidR="00731D7F">
              <w:t xml:space="preserve">parental leave for secondees funded under the </w:t>
            </w:r>
            <w:r>
              <w:t>directly allocated</w:t>
            </w:r>
            <w:r w:rsidR="00731D7F">
              <w:t xml:space="preserve"> heading should be met by the employer.</w:t>
            </w:r>
            <w:r>
              <w:t xml:space="preserve"> </w:t>
            </w:r>
          </w:p>
          <w:p w14:paraId="539C5B9D" w14:textId="77777777" w:rsidR="00335B69" w:rsidRDefault="00335B69" w:rsidP="00840FBF"/>
          <w:p w14:paraId="4F614737" w14:textId="040BD90E" w:rsidR="004677F6" w:rsidRPr="00151A36" w:rsidRDefault="00840FBF" w:rsidP="00840FBF">
            <w:r>
              <w:t>UKRI will be flexible in considering requests to suspend or reschedule secondments to account for periods of</w:t>
            </w:r>
            <w:r w:rsidR="00151A36">
              <w:t xml:space="preserve"> parental leave including </w:t>
            </w:r>
            <w:r>
              <w:t>m</w:t>
            </w:r>
            <w:r w:rsidRPr="00840FBF">
              <w:t xml:space="preserve">aternity, </w:t>
            </w:r>
            <w:proofErr w:type="gramStart"/>
            <w:r>
              <w:t>p</w:t>
            </w:r>
            <w:r w:rsidRPr="00840FBF">
              <w:t>aternity</w:t>
            </w:r>
            <w:proofErr w:type="gramEnd"/>
            <w:r w:rsidR="00151A36">
              <w:t xml:space="preserve"> and</w:t>
            </w:r>
            <w:r w:rsidRPr="00840FBF">
              <w:t xml:space="preserve"> </w:t>
            </w:r>
            <w:r>
              <w:t>a</w:t>
            </w:r>
            <w:r w:rsidRPr="00840FBF">
              <w:t xml:space="preserve">doption </w:t>
            </w:r>
            <w:r>
              <w:t>l</w:t>
            </w:r>
            <w:r w:rsidRPr="00840FBF">
              <w:t>eave</w:t>
            </w:r>
            <w:r>
              <w:t>.</w:t>
            </w:r>
            <w:r w:rsidR="0094017F">
              <w:t xml:space="preserve"> </w:t>
            </w:r>
            <w:r w:rsidR="002320E8">
              <w:t xml:space="preserve">We encourage </w:t>
            </w:r>
            <w:r w:rsidR="00FC6377">
              <w:t xml:space="preserve">part-time </w:t>
            </w:r>
            <w:r w:rsidR="002320E8">
              <w:t xml:space="preserve">and hybrid arrangements and we set up a </w:t>
            </w:r>
            <w:r w:rsidR="000D013E">
              <w:t xml:space="preserve">wide period </w:t>
            </w:r>
            <w:r w:rsidR="002320E8">
              <w:t xml:space="preserve">bracket of </w:t>
            </w:r>
            <w:r w:rsidR="00DD380A">
              <w:t xml:space="preserve">three </w:t>
            </w:r>
            <w:r w:rsidR="002320E8">
              <w:t xml:space="preserve">months to </w:t>
            </w:r>
            <w:proofErr w:type="gramStart"/>
            <w:r w:rsidR="00DD380A">
              <w:t xml:space="preserve">three </w:t>
            </w:r>
            <w:r w:rsidR="002320E8">
              <w:t xml:space="preserve"> years</w:t>
            </w:r>
            <w:proofErr w:type="gramEnd"/>
            <w:r w:rsidR="000D013E">
              <w:t xml:space="preserve"> for </w:t>
            </w:r>
            <w:r w:rsidR="00151A36">
              <w:t xml:space="preserve">secondment durations under </w:t>
            </w:r>
            <w:r w:rsidR="000D013E">
              <w:t>the pilot with inclusivity in mind</w:t>
            </w:r>
            <w:r w:rsidR="002320E8">
              <w:t xml:space="preserve">. We leave working day arrangements to the secondees and their hosts. </w:t>
            </w:r>
            <w:r w:rsidR="002320E8">
              <w:rPr>
                <w:rFonts w:cstheme="minorHAnsi"/>
              </w:rPr>
              <w:t>We expect that s</w:t>
            </w:r>
            <w:r w:rsidR="00FC7C20">
              <w:rPr>
                <w:rFonts w:cstheme="minorHAnsi"/>
              </w:rPr>
              <w:t xml:space="preserve">cheduling sufficient breaks </w:t>
            </w:r>
            <w:proofErr w:type="gramStart"/>
            <w:r w:rsidR="005760E0">
              <w:rPr>
                <w:rFonts w:cstheme="minorHAnsi"/>
              </w:rPr>
              <w:t xml:space="preserve">during </w:t>
            </w:r>
            <w:r w:rsidR="008C2363">
              <w:rPr>
                <w:rFonts w:cstheme="minorHAnsi"/>
              </w:rPr>
              <w:t xml:space="preserve"> in</w:t>
            </w:r>
            <w:proofErr w:type="gramEnd"/>
            <w:r w:rsidR="008C2363">
              <w:rPr>
                <w:rFonts w:cstheme="minorHAnsi"/>
              </w:rPr>
              <w:t xml:space="preserve"> person interactions </w:t>
            </w:r>
            <w:r w:rsidR="005760E0">
              <w:rPr>
                <w:rFonts w:cstheme="minorHAnsi"/>
              </w:rPr>
              <w:t xml:space="preserve">(virtual and physical) </w:t>
            </w:r>
            <w:r w:rsidR="002320E8">
              <w:rPr>
                <w:rFonts w:cstheme="minorHAnsi"/>
              </w:rPr>
              <w:t xml:space="preserve">will </w:t>
            </w:r>
            <w:r w:rsidR="008C2363">
              <w:rPr>
                <w:rFonts w:cstheme="minorHAnsi"/>
              </w:rPr>
              <w:t xml:space="preserve">provide </w:t>
            </w:r>
            <w:r w:rsidR="005760E0">
              <w:rPr>
                <w:rFonts w:cstheme="minorHAnsi"/>
              </w:rPr>
              <w:t>a g</w:t>
            </w:r>
            <w:r w:rsidR="008C2363">
              <w:rPr>
                <w:rFonts w:cstheme="minorHAnsi"/>
              </w:rPr>
              <w:t>reater comfort</w:t>
            </w:r>
            <w:r w:rsidR="00E87262">
              <w:rPr>
                <w:rFonts w:cstheme="minorHAnsi"/>
              </w:rPr>
              <w:t xml:space="preserve"> for </w:t>
            </w:r>
            <w:r w:rsidR="002320E8">
              <w:rPr>
                <w:rFonts w:cstheme="minorHAnsi"/>
              </w:rPr>
              <w:t xml:space="preserve">pregnant </w:t>
            </w:r>
            <w:r w:rsidR="00E87262">
              <w:rPr>
                <w:rFonts w:cstheme="minorHAnsi"/>
              </w:rPr>
              <w:t>participants</w:t>
            </w:r>
            <w:r w:rsidR="005760E0">
              <w:rPr>
                <w:rFonts w:cstheme="minorHAnsi"/>
              </w:rPr>
              <w:t xml:space="preserve">; </w:t>
            </w:r>
            <w:r w:rsidR="004677F6">
              <w:rPr>
                <w:rFonts w:cstheme="minorHAnsi"/>
              </w:rPr>
              <w:t xml:space="preserve">flexibility in the scheduling of </w:t>
            </w:r>
            <w:r w:rsidR="002320E8">
              <w:rPr>
                <w:rFonts w:cstheme="minorHAnsi"/>
              </w:rPr>
              <w:t xml:space="preserve">secondments </w:t>
            </w:r>
            <w:r w:rsidR="004677F6">
              <w:rPr>
                <w:rFonts w:cstheme="minorHAnsi"/>
              </w:rPr>
              <w:t xml:space="preserve">may similarly improve participation. </w:t>
            </w:r>
          </w:p>
          <w:p w14:paraId="600C8AFF" w14:textId="5C3D3732" w:rsidR="00CD01C9" w:rsidRDefault="00CD01C9" w:rsidP="00A74E74">
            <w:pPr>
              <w:rPr>
                <w:rFonts w:cstheme="minorHAnsi"/>
              </w:rPr>
            </w:pPr>
          </w:p>
          <w:p w14:paraId="1E7F4FC7" w14:textId="0905AB8D" w:rsidR="00CD01C9" w:rsidRDefault="00CD01C9" w:rsidP="00CD01C9">
            <w:r>
              <w:lastRenderedPageBreak/>
              <w:t xml:space="preserve">Applicants and their receiving organisations should discuss any personal needs based on this protected characteristic in confidence. Following such conversations, AHRC expects efforts to be made by receiving organisations to provide reasonable adjustments and a welcoming work culture. This </w:t>
            </w:r>
            <w:proofErr w:type="gramStart"/>
            <w:r>
              <w:t xml:space="preserve">should be </w:t>
            </w:r>
            <w:r w:rsidR="00DD380A">
              <w:t>should be</w:t>
            </w:r>
            <w:proofErr w:type="gramEnd"/>
            <w:r w:rsidR="00DD380A">
              <w:t xml:space="preserve"> compliant with the EDI policies at the receiving organisation and inspired by UKRI’s policies and approach to equality, diversity and inclusion</w:t>
            </w:r>
            <w:r w:rsidR="00DD380A">
              <w:t xml:space="preserve">. </w:t>
            </w:r>
          </w:p>
          <w:p w14:paraId="337B5BD9" w14:textId="77777777" w:rsidR="00CD01C9" w:rsidRPr="002320E8" w:rsidRDefault="00CD01C9" w:rsidP="00A74E74"/>
          <w:p w14:paraId="618F9A45" w14:textId="540871CC" w:rsidR="00AD3768" w:rsidRPr="00FC6377" w:rsidRDefault="0094017F" w:rsidP="00A74E74">
            <w:r>
              <w:t xml:space="preserve">The call is going to be live for </w:t>
            </w:r>
            <w:r w:rsidR="00E07164">
              <w:t xml:space="preserve">five </w:t>
            </w:r>
            <w:r>
              <w:t xml:space="preserve">months which is a generous duration. </w:t>
            </w:r>
            <w:r w:rsidR="00407749">
              <w:t xml:space="preserve">  </w:t>
            </w:r>
            <w:r>
              <w:t xml:space="preserve">However, some potential candidates who are on maternity leave might miss the deadline. </w:t>
            </w:r>
            <w:r w:rsidR="00407749">
              <w:t xml:space="preserve">We have therefore decided to publish a pre-announcement which went live in November 2021 to alert any potential applicants about this opportunity </w:t>
            </w:r>
            <w:proofErr w:type="gramStart"/>
            <w:r w:rsidR="00407749">
              <w:t>in  advance</w:t>
            </w:r>
            <w:proofErr w:type="gramEnd"/>
            <w:r w:rsidR="00407749">
              <w:t>.</w:t>
            </w:r>
          </w:p>
        </w:tc>
      </w:tr>
      <w:tr w:rsidR="00335B69" w:rsidRPr="00322D59" w14:paraId="618F9A4C" w14:textId="77777777" w:rsidTr="00335B69">
        <w:tc>
          <w:tcPr>
            <w:tcW w:w="1555" w:type="dxa"/>
            <w:shd w:val="clear" w:color="auto" w:fill="C6D9F1" w:themeFill="text2" w:themeFillTint="33"/>
          </w:tcPr>
          <w:p w14:paraId="618F9A47" w14:textId="77777777" w:rsidR="00085980" w:rsidRPr="00322D59" w:rsidRDefault="00085980" w:rsidP="00B653E7">
            <w:pPr>
              <w:rPr>
                <w:rFonts w:cstheme="minorHAnsi"/>
                <w:b/>
                <w:color w:val="000000" w:themeColor="text1"/>
              </w:rPr>
            </w:pPr>
            <w:r w:rsidRPr="00322D59">
              <w:rPr>
                <w:rFonts w:cstheme="minorHAnsi"/>
                <w:b/>
                <w:color w:val="000000" w:themeColor="text1"/>
              </w:rPr>
              <w:lastRenderedPageBreak/>
              <w:t>Race</w:t>
            </w:r>
          </w:p>
        </w:tc>
        <w:tc>
          <w:tcPr>
            <w:tcW w:w="992" w:type="dxa"/>
          </w:tcPr>
          <w:p w14:paraId="618F9A49" w14:textId="56FDB742" w:rsidR="006A027C" w:rsidRPr="00177780" w:rsidRDefault="00FC6377" w:rsidP="00FC6377">
            <w:pPr>
              <w:rPr>
                <w:rFonts w:cstheme="minorHAnsi"/>
              </w:rPr>
            </w:pPr>
            <w:r>
              <w:rPr>
                <w:rFonts w:cstheme="minorHAnsi"/>
              </w:rPr>
              <w:t>No impact</w:t>
            </w:r>
          </w:p>
        </w:tc>
        <w:tc>
          <w:tcPr>
            <w:tcW w:w="2835" w:type="dxa"/>
          </w:tcPr>
          <w:p w14:paraId="294FBD8E" w14:textId="644B6494" w:rsidR="00507868" w:rsidRDefault="00DA62DD" w:rsidP="00B653E7">
            <w:pPr>
              <w:rPr>
                <w:rFonts w:cstheme="minorHAnsi"/>
              </w:rPr>
            </w:pPr>
            <w:r>
              <w:rPr>
                <w:rFonts w:cstheme="minorHAnsi"/>
                <w:bCs/>
              </w:rPr>
              <w:t>T</w:t>
            </w:r>
            <w:r w:rsidR="00FC6377">
              <w:rPr>
                <w:rFonts w:cstheme="minorHAnsi"/>
                <w:bCs/>
              </w:rPr>
              <w:t>his call is open to candidates of all eth</w:t>
            </w:r>
            <w:r>
              <w:rPr>
                <w:rFonts w:cstheme="minorHAnsi"/>
                <w:bCs/>
              </w:rPr>
              <w:t>n</w:t>
            </w:r>
            <w:r w:rsidR="00FC6377">
              <w:rPr>
                <w:rFonts w:cstheme="minorHAnsi"/>
                <w:bCs/>
              </w:rPr>
              <w:t xml:space="preserve">ic backgrounds. </w:t>
            </w:r>
            <w:r w:rsidR="00C536DA">
              <w:rPr>
                <w:rFonts w:cstheme="minorHAnsi"/>
                <w:bCs/>
              </w:rPr>
              <w:t xml:space="preserve"> </w:t>
            </w:r>
            <w:r w:rsidR="00E57B96">
              <w:rPr>
                <w:rFonts w:cstheme="minorHAnsi"/>
                <w:bCs/>
              </w:rPr>
              <w:t xml:space="preserve">AHRC and UKRI designed the call to be flexible to make it inclusive and accessible. </w:t>
            </w:r>
            <w:r w:rsidR="00E57B96">
              <w:t xml:space="preserve">We are aware of under-representation of some BAME groups in the fields covered by this pilot call (e.g. </w:t>
            </w:r>
            <w:hyperlink r:id="rId13" w:history="1">
              <w:r w:rsidR="00E57B96" w:rsidRPr="00E07164">
                <w:rPr>
                  <w:rStyle w:val="Hyperlink"/>
                </w:rPr>
                <w:t>Black architects</w:t>
              </w:r>
            </w:hyperlink>
            <w:r w:rsidR="00E57B96">
              <w:t>)</w:t>
            </w:r>
            <w:r w:rsidR="00E57B96" w:rsidRPr="0057324E">
              <w:t xml:space="preserve"> </w:t>
            </w:r>
            <w:r w:rsidR="00E57B96">
              <w:t xml:space="preserve">and a risk that the awards might reflect this underrepresentation. </w:t>
            </w:r>
          </w:p>
          <w:p w14:paraId="618F9A4A" w14:textId="1D75D7DB" w:rsidR="00085980" w:rsidRPr="00177780" w:rsidRDefault="00085980" w:rsidP="00B653E7">
            <w:pPr>
              <w:rPr>
                <w:rFonts w:cstheme="minorHAnsi"/>
              </w:rPr>
            </w:pPr>
          </w:p>
        </w:tc>
        <w:tc>
          <w:tcPr>
            <w:tcW w:w="3634" w:type="dxa"/>
          </w:tcPr>
          <w:p w14:paraId="3B1023DA" w14:textId="3C8EA3FC" w:rsidR="00407749" w:rsidRDefault="00FC6377" w:rsidP="00182D64">
            <w:r>
              <w:t xml:space="preserve">There is a risk of </w:t>
            </w:r>
            <w:r w:rsidR="0094017F">
              <w:t xml:space="preserve">low </w:t>
            </w:r>
            <w:r>
              <w:t>representation</w:t>
            </w:r>
            <w:r w:rsidRPr="7777C053">
              <w:t xml:space="preserve"> of Black, Asian and ethnic minority groups </w:t>
            </w:r>
            <w:r>
              <w:t>among the applicants and successful candidates.</w:t>
            </w:r>
            <w:r w:rsidR="00ED5A6F">
              <w:t xml:space="preserve"> </w:t>
            </w:r>
            <w:r w:rsidR="00407749">
              <w:t xml:space="preserve">This might occur due to the channels used to advertise the </w:t>
            </w:r>
            <w:proofErr w:type="gramStart"/>
            <w:r w:rsidR="00407749">
              <w:t>call, and</w:t>
            </w:r>
            <w:proofErr w:type="gramEnd"/>
            <w:r w:rsidR="00407749">
              <w:t xml:space="preserve"> is impossible to predict as this is a pilot. </w:t>
            </w:r>
            <w:r w:rsidR="00ED5A6F">
              <w:t>To avoid</w:t>
            </w:r>
            <w:r w:rsidR="00985758">
              <w:t xml:space="preserve"> </w:t>
            </w:r>
            <w:r w:rsidR="00407749">
              <w:t>underrepresentation</w:t>
            </w:r>
            <w:r w:rsidR="00ED5A6F">
              <w:t>, we will advertise through UKRI channels which are designed with accessibility in mind</w:t>
            </w:r>
            <w:r w:rsidR="0035232C">
              <w:t xml:space="preserve">. We will also share the opportunity with relevant </w:t>
            </w:r>
            <w:r w:rsidR="0035232C" w:rsidRPr="001860F0">
              <w:t xml:space="preserve">organisations and stakeholders. </w:t>
            </w:r>
            <w:r w:rsidR="00ED5A6F">
              <w:t xml:space="preserve"> </w:t>
            </w:r>
          </w:p>
          <w:p w14:paraId="248A036A" w14:textId="77777777" w:rsidR="00407749" w:rsidRDefault="00407749" w:rsidP="00182D64"/>
          <w:p w14:paraId="149106A9" w14:textId="70F1EC69" w:rsidR="00C36F0F" w:rsidRDefault="00ED5A6F" w:rsidP="00182D64">
            <w:r>
              <w:t xml:space="preserve">As this is a </w:t>
            </w:r>
            <w:proofErr w:type="gramStart"/>
            <w:r>
              <w:t>pilot</w:t>
            </w:r>
            <w:proofErr w:type="gramEnd"/>
            <w:r>
              <w:t xml:space="preserve"> we will monitor outcomes. </w:t>
            </w:r>
            <w:r w:rsidR="00FC6377">
              <w:t xml:space="preserve"> We will use lessons learned from the pilot call to decide if positive action should be undertaken within any future Innovation Scholars calls for Creative Industries to attract BAME candidates. </w:t>
            </w:r>
          </w:p>
          <w:p w14:paraId="4DBB25DB" w14:textId="77777777" w:rsidR="00CD01C9" w:rsidRDefault="00CD01C9" w:rsidP="00182D64"/>
          <w:p w14:paraId="1FA82757" w14:textId="2AD6A5EA" w:rsidR="00CD01C9" w:rsidRDefault="00CD01C9" w:rsidP="00CD01C9">
            <w:r>
              <w:t xml:space="preserve">Applicants and their receiving organisations should discuss any personal needs based on this protected characteristic in confidence. Following such </w:t>
            </w:r>
            <w:r>
              <w:lastRenderedPageBreak/>
              <w:t xml:space="preserve">conversations, AHRC expects efforts to be made by receiving organisations to provide reasonable adjustments and a welcoming work culture. This should be </w:t>
            </w:r>
            <w:r w:rsidR="00DD380A">
              <w:t xml:space="preserve">compliant with the EDI policies at the receiving organisation and inspired by UKRI’s policies and approach to equality, </w:t>
            </w:r>
            <w:proofErr w:type="gramStart"/>
            <w:r w:rsidR="00DD380A">
              <w:t>diversity</w:t>
            </w:r>
            <w:proofErr w:type="gramEnd"/>
            <w:r w:rsidR="00DD380A">
              <w:t xml:space="preserve"> and inclusion</w:t>
            </w:r>
            <w:r w:rsidR="00DD380A">
              <w:t>.</w:t>
            </w:r>
            <w:r w:rsidR="00DD380A" w:rsidDel="00DD380A">
              <w:t xml:space="preserve"> </w:t>
            </w:r>
          </w:p>
          <w:p w14:paraId="618F9A4B" w14:textId="1AB931E0" w:rsidR="00CD01C9" w:rsidRPr="00FC6377" w:rsidRDefault="00CD01C9" w:rsidP="00182D64"/>
        </w:tc>
      </w:tr>
      <w:tr w:rsidR="00335B69" w:rsidRPr="00322D59" w14:paraId="618F9A52" w14:textId="77777777" w:rsidTr="00335B69">
        <w:tc>
          <w:tcPr>
            <w:tcW w:w="1555" w:type="dxa"/>
            <w:shd w:val="clear" w:color="auto" w:fill="C6D9F1" w:themeFill="text2" w:themeFillTint="33"/>
          </w:tcPr>
          <w:p w14:paraId="618F9A4D" w14:textId="77777777" w:rsidR="00085980" w:rsidRPr="00322D59" w:rsidRDefault="00085980" w:rsidP="00B653E7">
            <w:pPr>
              <w:rPr>
                <w:rFonts w:cstheme="minorHAnsi"/>
                <w:b/>
                <w:color w:val="000000" w:themeColor="text1"/>
              </w:rPr>
            </w:pPr>
            <w:r w:rsidRPr="00322D59">
              <w:rPr>
                <w:rFonts w:cstheme="minorHAnsi"/>
                <w:b/>
                <w:color w:val="000000" w:themeColor="text1"/>
              </w:rPr>
              <w:lastRenderedPageBreak/>
              <w:t>Religion or belief</w:t>
            </w:r>
          </w:p>
        </w:tc>
        <w:tc>
          <w:tcPr>
            <w:tcW w:w="992" w:type="dxa"/>
          </w:tcPr>
          <w:p w14:paraId="7BA71AEC" w14:textId="53F8C92A" w:rsidR="006A027C" w:rsidRDefault="00FC6377" w:rsidP="00FC6377">
            <w:pPr>
              <w:rPr>
                <w:rFonts w:cstheme="minorHAnsi"/>
              </w:rPr>
            </w:pPr>
            <w:r>
              <w:rPr>
                <w:rFonts w:cstheme="minorHAnsi"/>
              </w:rPr>
              <w:t>Po</w:t>
            </w:r>
            <w:r w:rsidR="00E07164">
              <w:rPr>
                <w:rFonts w:cstheme="minorHAnsi"/>
              </w:rPr>
              <w:t xml:space="preserve">ssible </w:t>
            </w:r>
            <w:r>
              <w:rPr>
                <w:rFonts w:cstheme="minorHAnsi"/>
              </w:rPr>
              <w:t xml:space="preserve">negative </w:t>
            </w:r>
          </w:p>
          <w:p w14:paraId="618F9A4F" w14:textId="182B661B" w:rsidR="00E07164" w:rsidRPr="0074089E" w:rsidRDefault="00E07164" w:rsidP="00FC6377">
            <w:pPr>
              <w:rPr>
                <w:rFonts w:cstheme="minorHAnsi"/>
              </w:rPr>
            </w:pPr>
            <w:r>
              <w:rPr>
                <w:rFonts w:cstheme="minorHAnsi"/>
              </w:rPr>
              <w:t xml:space="preserve">impact </w:t>
            </w:r>
          </w:p>
        </w:tc>
        <w:tc>
          <w:tcPr>
            <w:tcW w:w="2835" w:type="dxa"/>
          </w:tcPr>
          <w:p w14:paraId="1322E732" w14:textId="195F3DAE" w:rsidR="00FF61E6" w:rsidRDefault="00FC6377" w:rsidP="00AC3FE1">
            <w:pPr>
              <w:rPr>
                <w:rFonts w:cstheme="minorHAnsi"/>
              </w:rPr>
            </w:pPr>
            <w:r>
              <w:rPr>
                <w:rFonts w:cstheme="minorHAnsi"/>
              </w:rPr>
              <w:t xml:space="preserve">Potential candidates or receiving organisations members </w:t>
            </w:r>
            <w:r w:rsidR="00AC3FE1" w:rsidRPr="00406F69">
              <w:rPr>
                <w:rFonts w:cstheme="minorHAnsi"/>
              </w:rPr>
              <w:t>who</w:t>
            </w:r>
            <w:r w:rsidR="00AC3FE1">
              <w:rPr>
                <w:rFonts w:cstheme="minorHAnsi"/>
              </w:rPr>
              <w:t xml:space="preserve"> may be</w:t>
            </w:r>
            <w:r w:rsidR="00AC3FE1" w:rsidRPr="00406F69">
              <w:rPr>
                <w:rFonts w:cstheme="minorHAnsi"/>
              </w:rPr>
              <w:t xml:space="preserve"> on leave </w:t>
            </w:r>
            <w:r w:rsidR="00AC3FE1">
              <w:rPr>
                <w:rFonts w:cstheme="minorHAnsi"/>
              </w:rPr>
              <w:t xml:space="preserve">due to a religious celebration </w:t>
            </w:r>
            <w:r w:rsidR="00AC3FE1" w:rsidRPr="00406F69">
              <w:rPr>
                <w:rFonts w:cstheme="minorHAnsi"/>
              </w:rPr>
              <w:t xml:space="preserve">may </w:t>
            </w:r>
            <w:r>
              <w:rPr>
                <w:rFonts w:cstheme="minorHAnsi"/>
              </w:rPr>
              <w:t xml:space="preserve">miss the application deadline. </w:t>
            </w:r>
          </w:p>
          <w:p w14:paraId="75CDF707" w14:textId="798AB7EF" w:rsidR="00E57B96" w:rsidRDefault="00E57B96" w:rsidP="00AC3FE1">
            <w:pPr>
              <w:rPr>
                <w:rFonts w:cstheme="minorHAnsi"/>
              </w:rPr>
            </w:pPr>
          </w:p>
          <w:p w14:paraId="59BF3758" w14:textId="13C8B868" w:rsidR="00E57B96" w:rsidRDefault="00E57B96" w:rsidP="00AC3FE1">
            <w:pPr>
              <w:rPr>
                <w:rFonts w:cstheme="minorHAnsi"/>
              </w:rPr>
            </w:pPr>
            <w:r>
              <w:t xml:space="preserve">Apart from the above, we do not anticipate a person’s religion or belief would impact on their application. </w:t>
            </w:r>
            <w:r w:rsidRPr="0074089E">
              <w:rPr>
                <w:rFonts w:cstheme="minorHAnsi"/>
              </w:rPr>
              <w:t xml:space="preserve">Data on </w:t>
            </w:r>
            <w:r>
              <w:rPr>
                <w:rFonts w:cstheme="minorHAnsi"/>
              </w:rPr>
              <w:t xml:space="preserve">religion or belief </w:t>
            </w:r>
            <w:r w:rsidRPr="0074089E">
              <w:rPr>
                <w:rFonts w:cstheme="minorHAnsi"/>
              </w:rPr>
              <w:t>will not be sourced</w:t>
            </w:r>
            <w:r>
              <w:rPr>
                <w:rFonts w:cstheme="minorHAnsi"/>
              </w:rPr>
              <w:t>.</w:t>
            </w:r>
          </w:p>
          <w:p w14:paraId="179EEFA1" w14:textId="77777777" w:rsidR="00FF61E6" w:rsidRDefault="00FF61E6" w:rsidP="00AC3FE1">
            <w:pPr>
              <w:rPr>
                <w:rFonts w:cstheme="minorHAnsi"/>
              </w:rPr>
            </w:pPr>
          </w:p>
          <w:p w14:paraId="618F9A50" w14:textId="25603D22" w:rsidR="00AC3FE1" w:rsidRPr="0074089E" w:rsidRDefault="00AC3FE1" w:rsidP="00B653E7">
            <w:pPr>
              <w:rPr>
                <w:rFonts w:cstheme="minorHAnsi"/>
              </w:rPr>
            </w:pPr>
          </w:p>
        </w:tc>
        <w:tc>
          <w:tcPr>
            <w:tcW w:w="3634" w:type="dxa"/>
          </w:tcPr>
          <w:p w14:paraId="72998B26" w14:textId="5985F479" w:rsidR="008E1F6C" w:rsidRDefault="00FC6377" w:rsidP="00B653E7">
            <w:r>
              <w:t xml:space="preserve">The call will be live for </w:t>
            </w:r>
            <w:r w:rsidR="00407749">
              <w:t>5</w:t>
            </w:r>
            <w:r>
              <w:t xml:space="preserve"> months to </w:t>
            </w:r>
            <w:r w:rsidR="00151A36">
              <w:t xml:space="preserve">reduce the impact </w:t>
            </w:r>
            <w:proofErr w:type="gramStart"/>
            <w:r w:rsidR="00151A36">
              <w:t xml:space="preserve">of  </w:t>
            </w:r>
            <w:r>
              <w:t>any</w:t>
            </w:r>
            <w:proofErr w:type="gramEnd"/>
            <w:r>
              <w:t xml:space="preserve"> </w:t>
            </w:r>
            <w:r w:rsidR="00FA4FDC">
              <w:rPr>
                <w:rFonts w:cstheme="minorHAnsi"/>
              </w:rPr>
              <w:t>c</w:t>
            </w:r>
            <w:r w:rsidR="00407749">
              <w:rPr>
                <w:rFonts w:cstheme="minorHAnsi"/>
              </w:rPr>
              <w:t xml:space="preserve">lashes </w:t>
            </w:r>
            <w:r w:rsidR="00FA4FDC">
              <w:rPr>
                <w:rFonts w:cstheme="minorHAnsi"/>
              </w:rPr>
              <w:t xml:space="preserve"> with religious holidays or celebrations. </w:t>
            </w:r>
            <w:r w:rsidR="00407749">
              <w:t xml:space="preserve">We have also published a pre-announcement in November 2021 to inform any potential applicants about this opportunity </w:t>
            </w:r>
            <w:proofErr w:type="gramStart"/>
            <w:r w:rsidR="00407749">
              <w:t>in  advance</w:t>
            </w:r>
            <w:proofErr w:type="gramEnd"/>
            <w:r w:rsidR="00407749">
              <w:t>.</w:t>
            </w:r>
            <w:r w:rsidR="00407749">
              <w:rPr>
                <w:rFonts w:cstheme="minorHAnsi"/>
              </w:rPr>
              <w:t xml:space="preserve"> </w:t>
            </w:r>
            <w:r>
              <w:rPr>
                <w:rFonts w:cstheme="minorHAnsi"/>
              </w:rPr>
              <w:t>W</w:t>
            </w:r>
            <w:r>
              <w:t>e will also host information webinar</w:t>
            </w:r>
            <w:r w:rsidR="00407749">
              <w:t>s</w:t>
            </w:r>
            <w:r>
              <w:t xml:space="preserve"> in January</w:t>
            </w:r>
            <w:r w:rsidR="00407749">
              <w:t xml:space="preserve">, </w:t>
            </w:r>
            <w:proofErr w:type="gramStart"/>
            <w:r w:rsidR="00407749">
              <w:t>March</w:t>
            </w:r>
            <w:proofErr w:type="gramEnd"/>
            <w:r w:rsidR="00407749">
              <w:t xml:space="preserve"> and April</w:t>
            </w:r>
            <w:r>
              <w:t xml:space="preserve"> 2022</w:t>
            </w:r>
            <w:r w:rsidR="00326699">
              <w:t>. T</w:t>
            </w:r>
            <w:r>
              <w:t>h</w:t>
            </w:r>
            <w:r w:rsidR="00326699">
              <w:t xml:space="preserve">e first webinar </w:t>
            </w:r>
            <w:r>
              <w:t>will be recorded and</w:t>
            </w:r>
            <w:r w:rsidR="00407749">
              <w:t xml:space="preserve"> a </w:t>
            </w:r>
            <w:proofErr w:type="gramStart"/>
            <w:r w:rsidR="00407749">
              <w:t xml:space="preserve">recording </w:t>
            </w:r>
            <w:r>
              <w:t xml:space="preserve"> published</w:t>
            </w:r>
            <w:proofErr w:type="gramEnd"/>
            <w:r>
              <w:t xml:space="preserve"> online for the benefit of candidates unable to watch </w:t>
            </w:r>
            <w:r w:rsidR="00407749">
              <w:t xml:space="preserve">the webinars </w:t>
            </w:r>
            <w:r>
              <w:t xml:space="preserve"> live, including candidates who might be on leave due to religious events. </w:t>
            </w:r>
          </w:p>
          <w:p w14:paraId="41995519" w14:textId="77777777" w:rsidR="00CD01C9" w:rsidRDefault="00CD01C9" w:rsidP="00B653E7">
            <w:pPr>
              <w:rPr>
                <w:rFonts w:cstheme="minorHAnsi"/>
              </w:rPr>
            </w:pPr>
          </w:p>
          <w:p w14:paraId="32627BA5" w14:textId="2D1F673E" w:rsidR="00CD01C9" w:rsidRDefault="00CD01C9" w:rsidP="00CD01C9">
            <w:r>
              <w:t xml:space="preserve">Applicants and their receiving organisations should discuss any personal needs based on this protected characteristic in confidence. Following such conversations, AHRC expects efforts to be made by receiving organisations to provide reasonable adjustments and a welcoming work culture. This should be </w:t>
            </w:r>
            <w:r w:rsidR="00DD380A">
              <w:t xml:space="preserve">compliant with the EDI policies at the receiving organisation and inspired by UKRI’s policies and approach to equality, </w:t>
            </w:r>
            <w:proofErr w:type="gramStart"/>
            <w:r w:rsidR="00DD380A">
              <w:t>diversity</w:t>
            </w:r>
            <w:proofErr w:type="gramEnd"/>
            <w:r w:rsidR="00DD380A">
              <w:t xml:space="preserve"> and inclusion</w:t>
            </w:r>
            <w:r w:rsidR="00DD380A">
              <w:t xml:space="preserve">. </w:t>
            </w:r>
            <w:r w:rsidR="00DD380A" w:rsidDel="00DD380A">
              <w:t xml:space="preserve"> </w:t>
            </w:r>
          </w:p>
          <w:p w14:paraId="618F9A51" w14:textId="077C2B64" w:rsidR="00CD01C9" w:rsidRPr="0074089E" w:rsidRDefault="00CD01C9" w:rsidP="00B653E7">
            <w:pPr>
              <w:rPr>
                <w:rFonts w:cstheme="minorHAnsi"/>
              </w:rPr>
            </w:pPr>
          </w:p>
        </w:tc>
      </w:tr>
      <w:tr w:rsidR="00335B69" w:rsidRPr="00322D59" w14:paraId="618F9A58" w14:textId="77777777" w:rsidTr="00335B69">
        <w:tc>
          <w:tcPr>
            <w:tcW w:w="1555" w:type="dxa"/>
            <w:shd w:val="clear" w:color="auto" w:fill="C6D9F1" w:themeFill="text2" w:themeFillTint="33"/>
          </w:tcPr>
          <w:p w14:paraId="618F9A53" w14:textId="77777777" w:rsidR="00085980" w:rsidRPr="00322D59" w:rsidRDefault="00085980" w:rsidP="00B653E7">
            <w:pPr>
              <w:rPr>
                <w:rFonts w:cstheme="minorHAnsi"/>
                <w:b/>
                <w:color w:val="000000" w:themeColor="text1"/>
              </w:rPr>
            </w:pPr>
            <w:r w:rsidRPr="00322D59">
              <w:rPr>
                <w:rFonts w:cstheme="minorHAnsi"/>
                <w:b/>
                <w:color w:val="000000" w:themeColor="text1"/>
              </w:rPr>
              <w:t>Sexual orientation</w:t>
            </w:r>
          </w:p>
        </w:tc>
        <w:tc>
          <w:tcPr>
            <w:tcW w:w="992" w:type="dxa"/>
          </w:tcPr>
          <w:p w14:paraId="618F9A54" w14:textId="3530F6C2" w:rsidR="00085980" w:rsidRPr="0074089E" w:rsidRDefault="00A05AEB" w:rsidP="00A05AEB">
            <w:pPr>
              <w:rPr>
                <w:rFonts w:cstheme="minorHAnsi"/>
              </w:rPr>
            </w:pPr>
            <w:r w:rsidRPr="0074089E">
              <w:rPr>
                <w:rFonts w:cstheme="minorHAnsi"/>
              </w:rPr>
              <w:t>No impact</w:t>
            </w:r>
          </w:p>
          <w:p w14:paraId="618F9A55" w14:textId="77777777" w:rsidR="006A027C" w:rsidRPr="0074089E" w:rsidRDefault="006A027C" w:rsidP="00B653E7">
            <w:pPr>
              <w:rPr>
                <w:rFonts w:cstheme="minorHAnsi"/>
              </w:rPr>
            </w:pPr>
          </w:p>
        </w:tc>
        <w:tc>
          <w:tcPr>
            <w:tcW w:w="2835" w:type="dxa"/>
          </w:tcPr>
          <w:p w14:paraId="618F9A56" w14:textId="60D62DF2" w:rsidR="00085980" w:rsidRPr="0074089E" w:rsidRDefault="004D314E" w:rsidP="00B653E7">
            <w:pPr>
              <w:rPr>
                <w:rFonts w:cstheme="minorHAnsi"/>
              </w:rPr>
            </w:pPr>
            <w:r>
              <w:t xml:space="preserve">We do not anticipate a person’s sexual orientation would impact on their application. </w:t>
            </w:r>
            <w:r w:rsidR="00A05AEB" w:rsidRPr="0074089E">
              <w:rPr>
                <w:rFonts w:cstheme="minorHAnsi"/>
              </w:rPr>
              <w:t xml:space="preserve">Data on </w:t>
            </w:r>
            <w:r w:rsidR="00E57B96">
              <w:rPr>
                <w:rFonts w:cstheme="minorHAnsi"/>
              </w:rPr>
              <w:t>applicants</w:t>
            </w:r>
            <w:proofErr w:type="gramStart"/>
            <w:r w:rsidR="00E57B96">
              <w:rPr>
                <w:rFonts w:cstheme="minorHAnsi"/>
              </w:rPr>
              <w:t xml:space="preserve">’ </w:t>
            </w:r>
            <w:r w:rsidR="00A05AEB" w:rsidRPr="0074089E">
              <w:rPr>
                <w:rFonts w:cstheme="minorHAnsi"/>
              </w:rPr>
              <w:t xml:space="preserve"> sexual</w:t>
            </w:r>
            <w:proofErr w:type="gramEnd"/>
            <w:r w:rsidR="00A05AEB" w:rsidRPr="0074089E">
              <w:rPr>
                <w:rFonts w:cstheme="minorHAnsi"/>
              </w:rPr>
              <w:t xml:space="preserve"> orientation </w:t>
            </w:r>
            <w:r w:rsidR="005B7D51" w:rsidRPr="0074089E">
              <w:rPr>
                <w:rFonts w:cstheme="minorHAnsi"/>
              </w:rPr>
              <w:t>will not be sourced</w:t>
            </w:r>
            <w:r w:rsidR="00FC6377">
              <w:rPr>
                <w:rFonts w:cstheme="minorHAnsi"/>
              </w:rPr>
              <w:t xml:space="preserve">. </w:t>
            </w:r>
          </w:p>
        </w:tc>
        <w:tc>
          <w:tcPr>
            <w:tcW w:w="3634" w:type="dxa"/>
          </w:tcPr>
          <w:p w14:paraId="2D4509E1" w14:textId="77777777" w:rsidR="00085980" w:rsidRDefault="00AB5E5B" w:rsidP="00B653E7">
            <w:r>
              <w:t>AHRC and UKRI gives the applicants and partner organisation</w:t>
            </w:r>
            <w:r w:rsidR="00093409">
              <w:t>s</w:t>
            </w:r>
            <w:r>
              <w:t xml:space="preserve"> a great flexibility to design</w:t>
            </w:r>
            <w:r w:rsidRPr="5B037A42">
              <w:t xml:space="preserve"> the</w:t>
            </w:r>
            <w:r>
              <w:t xml:space="preserve"> secondment </w:t>
            </w:r>
            <w:r w:rsidRPr="5B037A42">
              <w:t>to allow participation</w:t>
            </w:r>
            <w:r>
              <w:t xml:space="preserve"> of persons of all sexual orientations. </w:t>
            </w:r>
          </w:p>
          <w:p w14:paraId="1D41CAE4" w14:textId="77777777" w:rsidR="00CD01C9" w:rsidRDefault="00CD01C9" w:rsidP="00B653E7">
            <w:pPr>
              <w:rPr>
                <w:rFonts w:cstheme="minorHAnsi"/>
              </w:rPr>
            </w:pPr>
          </w:p>
          <w:p w14:paraId="00114674" w14:textId="339D0FA1" w:rsidR="00CD01C9" w:rsidRDefault="00CD01C9" w:rsidP="00CD01C9">
            <w:r>
              <w:t xml:space="preserve">Applicants and their receiving organisations should discuss any personal needs based on this protected characteristic in </w:t>
            </w:r>
            <w:r>
              <w:lastRenderedPageBreak/>
              <w:t xml:space="preserve">confidence. Following such conversations, AHRC expects efforts to be made by receiving organisations to provide reasonable adjustments and a welcoming work culture. This should be </w:t>
            </w:r>
            <w:r w:rsidR="00DD380A">
              <w:t xml:space="preserve">compliant with the EDI policies at the receiving organisation and inspired by UKRI’s policies and approach to equality, </w:t>
            </w:r>
            <w:proofErr w:type="gramStart"/>
            <w:r w:rsidR="00DD380A">
              <w:t>diversity</w:t>
            </w:r>
            <w:proofErr w:type="gramEnd"/>
            <w:r w:rsidR="00DD380A">
              <w:t xml:space="preserve"> and inclusion</w:t>
            </w:r>
            <w:r w:rsidR="00DD380A">
              <w:t>.</w:t>
            </w:r>
            <w:r w:rsidR="00DD380A" w:rsidDel="00DD380A">
              <w:t xml:space="preserve"> </w:t>
            </w:r>
          </w:p>
          <w:p w14:paraId="618F9A57" w14:textId="4C98CEC9" w:rsidR="00CD01C9" w:rsidRPr="0074089E" w:rsidRDefault="00CD01C9" w:rsidP="00B653E7">
            <w:pPr>
              <w:rPr>
                <w:rFonts w:cstheme="minorHAnsi"/>
              </w:rPr>
            </w:pPr>
          </w:p>
        </w:tc>
      </w:tr>
      <w:tr w:rsidR="00335B69" w:rsidRPr="00322D59" w14:paraId="618F9A5E" w14:textId="77777777" w:rsidTr="00335B69">
        <w:tc>
          <w:tcPr>
            <w:tcW w:w="1555" w:type="dxa"/>
            <w:shd w:val="clear" w:color="auto" w:fill="C6D9F1" w:themeFill="text2" w:themeFillTint="33"/>
          </w:tcPr>
          <w:p w14:paraId="618F9A59" w14:textId="77777777" w:rsidR="00085980" w:rsidRPr="00322D59" w:rsidRDefault="00085980" w:rsidP="00B653E7">
            <w:pPr>
              <w:rPr>
                <w:rFonts w:cstheme="minorHAnsi"/>
                <w:b/>
                <w:color w:val="000000" w:themeColor="text1"/>
              </w:rPr>
            </w:pPr>
            <w:r w:rsidRPr="00322D59">
              <w:rPr>
                <w:rFonts w:cstheme="minorHAnsi"/>
                <w:b/>
                <w:color w:val="000000" w:themeColor="text1"/>
              </w:rPr>
              <w:lastRenderedPageBreak/>
              <w:t>Sex (gender)</w:t>
            </w:r>
          </w:p>
        </w:tc>
        <w:tc>
          <w:tcPr>
            <w:tcW w:w="992" w:type="dxa"/>
          </w:tcPr>
          <w:p w14:paraId="618F9A5A" w14:textId="1A2FA520" w:rsidR="00085980" w:rsidRPr="00FA0C23" w:rsidRDefault="000F5752" w:rsidP="00085980">
            <w:pPr>
              <w:rPr>
                <w:rFonts w:cstheme="minorHAnsi"/>
              </w:rPr>
            </w:pPr>
            <w:r w:rsidRPr="00FA0C23">
              <w:rPr>
                <w:rFonts w:cstheme="minorHAnsi"/>
              </w:rPr>
              <w:t xml:space="preserve">Potential negative </w:t>
            </w:r>
          </w:p>
          <w:p w14:paraId="618F9A5B" w14:textId="77777777" w:rsidR="006A027C" w:rsidRPr="00FA0C23" w:rsidRDefault="006A027C" w:rsidP="00085980">
            <w:pPr>
              <w:rPr>
                <w:rFonts w:cstheme="minorHAnsi"/>
              </w:rPr>
            </w:pPr>
          </w:p>
        </w:tc>
        <w:tc>
          <w:tcPr>
            <w:tcW w:w="2835" w:type="dxa"/>
          </w:tcPr>
          <w:p w14:paraId="304CAC9D" w14:textId="0A4A224F" w:rsidR="00085980" w:rsidRDefault="003B7E30" w:rsidP="00B653E7">
            <w:pPr>
              <w:rPr>
                <w:rFonts w:cstheme="minorHAnsi"/>
              </w:rPr>
            </w:pPr>
            <w:r>
              <w:t xml:space="preserve">See </w:t>
            </w:r>
            <w:r w:rsidR="00FA68F7">
              <w:t>‘P</w:t>
            </w:r>
            <w:r>
              <w:t>regnancy and maternity</w:t>
            </w:r>
            <w:r w:rsidR="00FA68F7">
              <w:t>’</w:t>
            </w:r>
            <w:r>
              <w:t xml:space="preserve">. Another gender-specific barrier might occur if a candidate is going through the menopause at the point of applying or during a secondment, or is experiencing any </w:t>
            </w:r>
            <w:r w:rsidR="00FA68F7">
              <w:t>sex</w:t>
            </w:r>
            <w:r>
              <w:t>-specific health issue</w:t>
            </w:r>
            <w:r w:rsidR="00FA68F7">
              <w:t xml:space="preserve">, </w:t>
            </w:r>
            <w:proofErr w:type="gramStart"/>
            <w:r w:rsidR="00FA68F7">
              <w:t>e.g.</w:t>
            </w:r>
            <w:proofErr w:type="gramEnd"/>
            <w:r w:rsidR="00FA68F7">
              <w:t xml:space="preserve"> prostate cancer or ovarian cancer</w:t>
            </w:r>
            <w:r>
              <w:t xml:space="preserve">. The point about inclusive language made under ‘Gender reassignment’ is also important here due to persons who </w:t>
            </w:r>
            <w:r w:rsidR="0052742D">
              <w:t xml:space="preserve">identify as </w:t>
            </w:r>
            <w:r>
              <w:t xml:space="preserve">non-binary/ </w:t>
            </w:r>
            <w:proofErr w:type="gramStart"/>
            <w:r>
              <w:t>gender-queer</w:t>
            </w:r>
            <w:proofErr w:type="gramEnd"/>
            <w:r>
              <w:t xml:space="preserve"> or transgender (irrespective of whether they had gender reassignment). </w:t>
            </w:r>
          </w:p>
          <w:p w14:paraId="618F9A5C" w14:textId="39A5FFA2" w:rsidR="00265DE0" w:rsidRPr="00FA0C23" w:rsidRDefault="00265DE0" w:rsidP="00B653E7">
            <w:pPr>
              <w:rPr>
                <w:rFonts w:cstheme="minorHAnsi"/>
              </w:rPr>
            </w:pPr>
          </w:p>
        </w:tc>
        <w:tc>
          <w:tcPr>
            <w:tcW w:w="3634" w:type="dxa"/>
          </w:tcPr>
          <w:p w14:paraId="794E74A6" w14:textId="4F0DC792" w:rsidR="00085980" w:rsidRDefault="00E57B96" w:rsidP="00A25E7C">
            <w:r>
              <w:t xml:space="preserve">The duration of the call being live – </w:t>
            </w:r>
            <w:proofErr w:type="gramStart"/>
            <w:r w:rsidR="00D35E9E">
              <w:t xml:space="preserve">five </w:t>
            </w:r>
            <w:r>
              <w:t xml:space="preserve"> months</w:t>
            </w:r>
            <w:proofErr w:type="gramEnd"/>
            <w:r>
              <w:t xml:space="preserve"> –  is generous and should allow inclusivity. </w:t>
            </w:r>
            <w:r w:rsidR="00407749">
              <w:t xml:space="preserve"> We have also published a pre-announcement in November 2021 to inform any potential applicants about this opportunity </w:t>
            </w:r>
            <w:proofErr w:type="gramStart"/>
            <w:r w:rsidR="00407749">
              <w:t>in  advance</w:t>
            </w:r>
            <w:proofErr w:type="gramEnd"/>
            <w:r w:rsidR="00407749">
              <w:t xml:space="preserve">. </w:t>
            </w:r>
            <w:r w:rsidR="003B7E30">
              <w:t>AHRC and UKRI give the applicants and partner organisation a great flexibility to design</w:t>
            </w:r>
            <w:r w:rsidR="003B7E30" w:rsidRPr="5B037A42">
              <w:t xml:space="preserve"> the</w:t>
            </w:r>
            <w:r w:rsidR="003B7E30">
              <w:t xml:space="preserve"> secondment </w:t>
            </w:r>
            <w:r w:rsidR="003B7E30" w:rsidRPr="5B037A42">
              <w:t>to allow participation</w:t>
            </w:r>
            <w:r w:rsidR="003B7E30">
              <w:t xml:space="preserve"> of all </w:t>
            </w:r>
            <w:proofErr w:type="gramStart"/>
            <w:r w:rsidR="00FA68F7">
              <w:t>sexes  and</w:t>
            </w:r>
            <w:proofErr w:type="gramEnd"/>
            <w:r w:rsidR="00FA68F7">
              <w:t xml:space="preserve"> </w:t>
            </w:r>
            <w:r w:rsidR="003B7E30">
              <w:t>genders</w:t>
            </w:r>
            <w:r w:rsidR="003B7E30" w:rsidRPr="5B037A42">
              <w:t xml:space="preserve">. </w:t>
            </w:r>
            <w:r w:rsidR="003B7E30">
              <w:t xml:space="preserve">We encourage part-time and hybrid arrangements and we set up a </w:t>
            </w:r>
            <w:proofErr w:type="gramStart"/>
            <w:r w:rsidR="003B7E30">
              <w:t>generous brackets of 3 months</w:t>
            </w:r>
            <w:proofErr w:type="gramEnd"/>
            <w:r w:rsidR="003B7E30">
              <w:t xml:space="preserve"> to 3 years. We leave working day arrangements to the secondees and their hosts.</w:t>
            </w:r>
          </w:p>
          <w:p w14:paraId="5651142F" w14:textId="59806826" w:rsidR="003B7E30" w:rsidRDefault="003B7E30" w:rsidP="00A25E7C"/>
          <w:p w14:paraId="5C573006" w14:textId="33E24854" w:rsidR="00CD01C9" w:rsidRDefault="00CD01C9" w:rsidP="00CD01C9">
            <w:r>
              <w:t xml:space="preserve">Applicants and their receiving organisations should discuss any personal needs based on this protected characteristic in confidence. Following such conversations, AHRC expects efforts to be made by receiving organisations to provide reasonable adjustments and a welcoming work culture. This </w:t>
            </w:r>
            <w:r w:rsidR="00DD380A">
              <w:t xml:space="preserve">should be compliant with the EDI policies at the receiving organisation and inspired by UKRI’s policies and approach to equality, </w:t>
            </w:r>
            <w:proofErr w:type="gramStart"/>
            <w:r w:rsidR="00DD380A">
              <w:t>diversity</w:t>
            </w:r>
            <w:proofErr w:type="gramEnd"/>
            <w:r w:rsidR="00DD380A">
              <w:t xml:space="preserve"> and inclusion</w:t>
            </w:r>
            <w:r w:rsidR="00DD380A">
              <w:t xml:space="preserve">. </w:t>
            </w:r>
          </w:p>
          <w:p w14:paraId="2E285525" w14:textId="77777777" w:rsidR="00CD01C9" w:rsidRDefault="00CD01C9" w:rsidP="00A25E7C"/>
          <w:p w14:paraId="618F9A5D" w14:textId="5232E2DE" w:rsidR="003B7E30" w:rsidRPr="00FA68F7" w:rsidRDefault="003B7E30" w:rsidP="003B7E30">
            <w:pPr>
              <w:rPr>
                <w:rFonts w:cstheme="minorHAnsi"/>
                <w:bCs/>
              </w:rPr>
            </w:pPr>
            <w:r>
              <w:rPr>
                <w:rFonts w:cstheme="minorHAnsi"/>
                <w:bCs/>
              </w:rPr>
              <w:t xml:space="preserve">AHRC </w:t>
            </w:r>
            <w:r w:rsidRPr="00761B81">
              <w:rPr>
                <w:rFonts w:cstheme="minorHAnsi"/>
                <w:bCs/>
              </w:rPr>
              <w:t>will use gender</w:t>
            </w:r>
            <w:r>
              <w:rPr>
                <w:rFonts w:cstheme="minorHAnsi"/>
                <w:bCs/>
              </w:rPr>
              <w:t>-neutral</w:t>
            </w:r>
            <w:r w:rsidRPr="00761B81">
              <w:rPr>
                <w:rFonts w:cstheme="minorHAnsi"/>
                <w:bCs/>
              </w:rPr>
              <w:t xml:space="preserve"> pronouns</w:t>
            </w:r>
            <w:r>
              <w:rPr>
                <w:rFonts w:cstheme="minorHAnsi"/>
                <w:bCs/>
              </w:rPr>
              <w:t xml:space="preserve"> such as ‘</w:t>
            </w:r>
            <w:r w:rsidR="00407749">
              <w:rPr>
                <w:rFonts w:cstheme="minorHAnsi"/>
                <w:bCs/>
              </w:rPr>
              <w:t>you/</w:t>
            </w:r>
            <w:r>
              <w:rPr>
                <w:rFonts w:cstheme="minorHAnsi"/>
                <w:bCs/>
              </w:rPr>
              <w:t>they’ instead of ‘he/she’ in the call documents</w:t>
            </w:r>
            <w:r w:rsidR="00407749">
              <w:rPr>
                <w:rFonts w:cstheme="minorHAnsi"/>
                <w:bCs/>
              </w:rPr>
              <w:t xml:space="preserve"> </w:t>
            </w:r>
            <w:proofErr w:type="gramStart"/>
            <w:r w:rsidR="00407749">
              <w:rPr>
                <w:rFonts w:cstheme="minorHAnsi"/>
                <w:bCs/>
              </w:rPr>
              <w:t xml:space="preserve">and </w:t>
            </w:r>
            <w:r>
              <w:rPr>
                <w:rFonts w:cstheme="minorHAnsi"/>
                <w:bCs/>
              </w:rPr>
              <w:t xml:space="preserve"> reporting</w:t>
            </w:r>
            <w:proofErr w:type="gramEnd"/>
            <w:r w:rsidRPr="00761B81">
              <w:rPr>
                <w:rFonts w:cstheme="minorHAnsi"/>
                <w:bCs/>
              </w:rPr>
              <w:t xml:space="preserve">. </w:t>
            </w:r>
            <w:r>
              <w:rPr>
                <w:rFonts w:cstheme="minorHAnsi"/>
                <w:bCs/>
              </w:rPr>
              <w:t xml:space="preserve">By publishing this EIA, we </w:t>
            </w:r>
            <w:r w:rsidR="00407749">
              <w:rPr>
                <w:rFonts w:cstheme="minorHAnsi"/>
                <w:bCs/>
              </w:rPr>
              <w:t xml:space="preserve">also want to </w:t>
            </w:r>
            <w:r>
              <w:rPr>
                <w:rFonts w:cstheme="minorHAnsi"/>
                <w:bCs/>
              </w:rPr>
              <w:t xml:space="preserve">encourage secondees and their receiving organisations to use </w:t>
            </w:r>
            <w:r w:rsidRPr="00761B81">
              <w:rPr>
                <w:rFonts w:cstheme="minorHAnsi"/>
                <w:bCs/>
              </w:rPr>
              <w:t>gender neutral language</w:t>
            </w:r>
            <w:r>
              <w:rPr>
                <w:rFonts w:cstheme="minorHAnsi"/>
                <w:bCs/>
              </w:rPr>
              <w:t xml:space="preserve"> throughout</w:t>
            </w:r>
            <w:r w:rsidRPr="00761B81">
              <w:rPr>
                <w:rFonts w:cstheme="minorHAnsi"/>
                <w:bCs/>
              </w:rPr>
              <w:t xml:space="preserve"> their interactions.</w:t>
            </w:r>
          </w:p>
        </w:tc>
      </w:tr>
      <w:tr w:rsidR="00335B69" w:rsidRPr="00322D59" w14:paraId="618F9A64" w14:textId="77777777" w:rsidTr="00335B69">
        <w:tc>
          <w:tcPr>
            <w:tcW w:w="1555" w:type="dxa"/>
            <w:shd w:val="clear" w:color="auto" w:fill="C6D9F1" w:themeFill="text2" w:themeFillTint="33"/>
          </w:tcPr>
          <w:p w14:paraId="618F9A5F" w14:textId="77777777" w:rsidR="00085980" w:rsidRPr="00322D59" w:rsidRDefault="00085980" w:rsidP="00B653E7">
            <w:pPr>
              <w:rPr>
                <w:rFonts w:cstheme="minorHAnsi"/>
                <w:b/>
                <w:color w:val="000000" w:themeColor="text1"/>
              </w:rPr>
            </w:pPr>
            <w:r w:rsidRPr="00322D59">
              <w:rPr>
                <w:rFonts w:cstheme="minorHAnsi"/>
                <w:b/>
                <w:color w:val="000000" w:themeColor="text1"/>
              </w:rPr>
              <w:lastRenderedPageBreak/>
              <w:t>Age</w:t>
            </w:r>
          </w:p>
        </w:tc>
        <w:tc>
          <w:tcPr>
            <w:tcW w:w="992" w:type="dxa"/>
          </w:tcPr>
          <w:p w14:paraId="618F9A61" w14:textId="4B43AA22" w:rsidR="006A027C" w:rsidRPr="009571F1" w:rsidRDefault="00AB5E5B" w:rsidP="5B037A42">
            <w:r>
              <w:t xml:space="preserve">No impact </w:t>
            </w:r>
          </w:p>
        </w:tc>
        <w:tc>
          <w:tcPr>
            <w:tcW w:w="2835" w:type="dxa"/>
          </w:tcPr>
          <w:p w14:paraId="618F9A62" w14:textId="5912E034" w:rsidR="00993292" w:rsidRPr="009571F1" w:rsidRDefault="00AB5E5B" w:rsidP="003B7E30">
            <w:pPr>
              <w:rPr>
                <w:rFonts w:cstheme="minorHAnsi"/>
              </w:rPr>
            </w:pPr>
            <w:r>
              <w:rPr>
                <w:rFonts w:cstheme="minorHAnsi"/>
              </w:rPr>
              <w:t xml:space="preserve">AHRC and UKRI </w:t>
            </w:r>
            <w:r w:rsidR="00E57B96">
              <w:rPr>
                <w:rFonts w:cstheme="minorHAnsi"/>
              </w:rPr>
              <w:t xml:space="preserve">designed this flexible scheme  </w:t>
            </w:r>
            <w:r w:rsidR="003B7E30">
              <w:t xml:space="preserve"> </w:t>
            </w:r>
            <w:r w:rsidR="00E57B96">
              <w:t xml:space="preserve">to </w:t>
            </w:r>
            <w:r w:rsidR="003B7E30">
              <w:t>make it inclusive</w:t>
            </w:r>
            <w:r w:rsidR="00E57B96">
              <w:t xml:space="preserve">. The flexibility </w:t>
            </w:r>
            <w:proofErr w:type="gramStart"/>
            <w:r w:rsidR="00E57B96">
              <w:t xml:space="preserve">might </w:t>
            </w:r>
            <w:r w:rsidR="003B7E30">
              <w:t xml:space="preserve"> appeal</w:t>
            </w:r>
            <w:proofErr w:type="gramEnd"/>
            <w:r w:rsidR="003B7E30">
              <w:t xml:space="preserve"> to </w:t>
            </w:r>
            <w:r w:rsidR="00E57B96">
              <w:t xml:space="preserve">and benefit </w:t>
            </w:r>
            <w:r w:rsidR="003B7E30">
              <w:t xml:space="preserve">persons </w:t>
            </w:r>
            <w:r w:rsidR="0052742D">
              <w:t>across a wide range of adult</w:t>
            </w:r>
            <w:r w:rsidR="003B7E30">
              <w:t xml:space="preserve"> age groups. </w:t>
            </w:r>
            <w:r w:rsidR="00D23877">
              <w:rPr>
                <w:rFonts w:cstheme="minorHAnsi"/>
              </w:rPr>
              <w:t>The scheme is open for candidates at all career stages from</w:t>
            </w:r>
            <w:r w:rsidR="00D23877" w:rsidRPr="00365582">
              <w:rPr>
                <w:rFonts w:cstheme="minorHAnsi"/>
              </w:rPr>
              <w:t xml:space="preserve"> </w:t>
            </w:r>
            <w:proofErr w:type="spellStart"/>
            <w:r w:rsidR="00D23877" w:rsidRPr="00365582">
              <w:rPr>
                <w:rFonts w:cstheme="minorHAnsi"/>
              </w:rPr>
              <w:t>from</w:t>
            </w:r>
            <w:proofErr w:type="spellEnd"/>
            <w:r w:rsidR="00D23877" w:rsidRPr="00365582">
              <w:rPr>
                <w:rFonts w:cstheme="minorHAnsi"/>
              </w:rPr>
              <w:t xml:space="preserve"> </w:t>
            </w:r>
            <w:r w:rsidR="00D23877">
              <w:rPr>
                <w:rFonts w:cstheme="minorHAnsi"/>
              </w:rPr>
              <w:t xml:space="preserve">early career </w:t>
            </w:r>
            <w:r w:rsidR="00D23877" w:rsidRPr="00365582">
              <w:rPr>
                <w:rFonts w:cstheme="minorHAnsi"/>
              </w:rPr>
              <w:t>to senior</w:t>
            </w:r>
            <w:r w:rsidR="00D23877">
              <w:rPr>
                <w:rFonts w:cstheme="minorHAnsi"/>
              </w:rPr>
              <w:t xml:space="preserve"> working professionals of all sectors, including</w:t>
            </w:r>
            <w:r w:rsidR="00D23877" w:rsidRPr="00365582">
              <w:rPr>
                <w:rFonts w:cstheme="minorHAnsi"/>
              </w:rPr>
              <w:t xml:space="preserve"> academi</w:t>
            </w:r>
            <w:r w:rsidR="00D23877">
              <w:rPr>
                <w:rFonts w:cstheme="minorHAnsi"/>
              </w:rPr>
              <w:t>a</w:t>
            </w:r>
            <w:r w:rsidR="00D23877" w:rsidRPr="00365582">
              <w:rPr>
                <w:rFonts w:cstheme="minorHAnsi"/>
              </w:rPr>
              <w:t>.</w:t>
            </w:r>
          </w:p>
        </w:tc>
        <w:tc>
          <w:tcPr>
            <w:tcW w:w="3634" w:type="dxa"/>
          </w:tcPr>
          <w:p w14:paraId="247DA2F0" w14:textId="75712893" w:rsidR="00085980" w:rsidRDefault="003B7E30" w:rsidP="7777C053">
            <w:r>
              <w:t>The s</w:t>
            </w:r>
            <w:r w:rsidR="00FA68F7">
              <w:t>cheme is open for candidates from each</w:t>
            </w:r>
            <w:r w:rsidR="00DE347F" w:rsidRPr="7777C053">
              <w:t xml:space="preserve"> career-level group</w:t>
            </w:r>
            <w:r w:rsidR="00F130B1" w:rsidRPr="7777C053">
              <w:t xml:space="preserve"> </w:t>
            </w:r>
            <w:r w:rsidR="00FA68F7">
              <w:t>above doctoral/equivalent experience.</w:t>
            </w:r>
            <w:r w:rsidR="00AB5E5B">
              <w:t xml:space="preserve"> Our reviewers/assessors are going to assess applicants at </w:t>
            </w:r>
            <w:r w:rsidR="00326699">
              <w:t xml:space="preserve">all </w:t>
            </w:r>
            <w:r w:rsidR="00AB5E5B">
              <w:t>career stages/of different ages fairly and transparently</w:t>
            </w:r>
            <w:r w:rsidR="00326699">
              <w:t>, according to the same criteria and</w:t>
            </w:r>
            <w:r w:rsidR="00AB5E5B">
              <w:t xml:space="preserve"> taking into consideration experience in the context of career stage.</w:t>
            </w:r>
          </w:p>
          <w:p w14:paraId="383F6C7D" w14:textId="77777777" w:rsidR="00AD3768" w:rsidRDefault="00AD3768" w:rsidP="00AD3768">
            <w:pPr>
              <w:rPr>
                <w:rFonts w:cstheme="minorHAnsi"/>
              </w:rPr>
            </w:pPr>
          </w:p>
          <w:p w14:paraId="30A70EE8" w14:textId="76E726DC" w:rsidR="00CD01C9" w:rsidRDefault="00CD01C9" w:rsidP="00CD01C9">
            <w:r>
              <w:t xml:space="preserve">Applicants and their receiving organisations should discuss any personal needs based on this protected characteristic in confidence. Following such conversations, AHRC expects efforts to be made by receiving organisations to provide reasonable adjustments and a welcoming work culture. This </w:t>
            </w:r>
            <w:proofErr w:type="gramStart"/>
            <w:r>
              <w:t xml:space="preserve">should be </w:t>
            </w:r>
            <w:r w:rsidR="00DD380A">
              <w:t>should be</w:t>
            </w:r>
            <w:proofErr w:type="gramEnd"/>
            <w:r w:rsidR="00DD380A">
              <w:t xml:space="preserve"> compliant with the EDI policies at the receiving organisation and inspired by UKRI’s policies and approach to equality, diversity and inclusion</w:t>
            </w:r>
            <w:r w:rsidR="00DD380A">
              <w:t>.</w:t>
            </w:r>
            <w:r w:rsidR="00DD380A" w:rsidDel="00DD380A">
              <w:t xml:space="preserve"> </w:t>
            </w:r>
          </w:p>
          <w:p w14:paraId="618F9A63" w14:textId="64A169B1" w:rsidR="00AD3768" w:rsidRPr="009571F1" w:rsidRDefault="00AD3768" w:rsidP="00AD3768">
            <w:pPr>
              <w:rPr>
                <w:rFonts w:cstheme="minorHAnsi"/>
                <w:b/>
              </w:rPr>
            </w:pPr>
          </w:p>
        </w:tc>
      </w:tr>
    </w:tbl>
    <w:p w14:paraId="618F9A65" w14:textId="77777777" w:rsidR="00085980" w:rsidRPr="00322D59" w:rsidRDefault="00085980" w:rsidP="00085980">
      <w:pPr>
        <w:spacing w:after="0"/>
        <w:rPr>
          <w:rFonts w:cstheme="minorHAnsi"/>
          <w:b/>
          <w:color w:val="000000" w:themeColor="text1"/>
        </w:rPr>
      </w:pPr>
    </w:p>
    <w:p w14:paraId="618F9A66" w14:textId="3D2E5239" w:rsidR="00085980" w:rsidRDefault="00085980" w:rsidP="00085980">
      <w:pPr>
        <w:spacing w:after="0"/>
        <w:rPr>
          <w:rFonts w:cstheme="minorHAnsi"/>
          <w:color w:val="000000" w:themeColor="text1"/>
          <w:sz w:val="24"/>
          <w:szCs w:val="24"/>
        </w:rPr>
      </w:pPr>
    </w:p>
    <w:p w14:paraId="618F9A69" w14:textId="78B91FF3" w:rsidR="00085980" w:rsidRDefault="00085980" w:rsidP="00085980">
      <w:pPr>
        <w:spacing w:after="0"/>
        <w:rPr>
          <w:rFonts w:cstheme="minorHAnsi"/>
          <w:b/>
          <w:color w:val="000000" w:themeColor="text1"/>
        </w:rPr>
      </w:pPr>
      <w:r w:rsidRPr="00496450">
        <w:rPr>
          <w:rFonts w:cstheme="minorHAnsi"/>
          <w:b/>
          <w:color w:val="000000" w:themeColor="text1"/>
        </w:rPr>
        <w:t xml:space="preserve">Evaluation: </w:t>
      </w:r>
    </w:p>
    <w:tbl>
      <w:tblPr>
        <w:tblStyle w:val="TableGrid"/>
        <w:tblW w:w="9242" w:type="dxa"/>
        <w:tblLayout w:type="fixed"/>
        <w:tblLook w:val="04A0" w:firstRow="1" w:lastRow="0" w:firstColumn="1" w:lastColumn="0" w:noHBand="0" w:noVBand="1"/>
      </w:tblPr>
      <w:tblGrid>
        <w:gridCol w:w="3256"/>
        <w:gridCol w:w="2097"/>
        <w:gridCol w:w="3889"/>
      </w:tblGrid>
      <w:tr w:rsidR="00085980" w14:paraId="618F9A6C" w14:textId="77777777" w:rsidTr="00E07164">
        <w:tc>
          <w:tcPr>
            <w:tcW w:w="3256" w:type="dxa"/>
            <w:shd w:val="clear" w:color="auto" w:fill="C6D9F1" w:themeFill="text2" w:themeFillTint="33"/>
          </w:tcPr>
          <w:p w14:paraId="618F9A6A" w14:textId="77777777" w:rsidR="00085980" w:rsidRPr="0065601D" w:rsidRDefault="00085980" w:rsidP="00B653E7">
            <w:pPr>
              <w:rPr>
                <w:rFonts w:cstheme="minorHAnsi"/>
                <w:b/>
                <w:color w:val="000000" w:themeColor="text1"/>
              </w:rPr>
            </w:pPr>
            <w:r>
              <w:rPr>
                <w:rFonts w:cstheme="minorHAnsi"/>
                <w:b/>
                <w:color w:val="000000" w:themeColor="text1"/>
              </w:rPr>
              <w:t xml:space="preserve">Question </w:t>
            </w:r>
          </w:p>
        </w:tc>
        <w:tc>
          <w:tcPr>
            <w:tcW w:w="5986" w:type="dxa"/>
            <w:gridSpan w:val="2"/>
            <w:shd w:val="clear" w:color="auto" w:fill="C6D9F1" w:themeFill="text2" w:themeFillTint="33"/>
          </w:tcPr>
          <w:p w14:paraId="618F9A6B" w14:textId="77777777" w:rsidR="00085980" w:rsidRDefault="00085980" w:rsidP="00B653E7">
            <w:pPr>
              <w:rPr>
                <w:rFonts w:cstheme="minorHAnsi"/>
                <w:b/>
                <w:color w:val="000000" w:themeColor="text1"/>
              </w:rPr>
            </w:pPr>
            <w:r>
              <w:rPr>
                <w:rFonts w:cstheme="minorHAnsi"/>
                <w:b/>
                <w:color w:val="000000" w:themeColor="text1"/>
              </w:rPr>
              <w:t>Explanation / justification</w:t>
            </w:r>
          </w:p>
        </w:tc>
      </w:tr>
      <w:tr w:rsidR="00085980" w14:paraId="618F9A70" w14:textId="77777777" w:rsidTr="00E07164">
        <w:tc>
          <w:tcPr>
            <w:tcW w:w="3256" w:type="dxa"/>
          </w:tcPr>
          <w:p w14:paraId="618F9A6D" w14:textId="77777777" w:rsidR="00085980" w:rsidRPr="00A55355" w:rsidRDefault="00085980" w:rsidP="00B653E7">
            <w:pPr>
              <w:spacing w:after="200" w:line="276" w:lineRule="auto"/>
              <w:rPr>
                <w:rFonts w:cstheme="minorHAnsi"/>
                <w:color w:val="000000" w:themeColor="text1"/>
              </w:rPr>
            </w:pPr>
            <w:r w:rsidRPr="00A55355">
              <w:rPr>
                <w:rFonts w:cstheme="minorHAnsi"/>
                <w:color w:val="000000" w:themeColor="text1"/>
              </w:rPr>
              <w:t xml:space="preserve">Is it possible the proposed policy or activity </w:t>
            </w:r>
            <w:r>
              <w:rPr>
                <w:rFonts w:cstheme="minorHAnsi"/>
                <w:color w:val="000000" w:themeColor="text1"/>
              </w:rPr>
              <w:t>or change in policy or activity</w:t>
            </w:r>
            <w:r w:rsidRPr="00A55355">
              <w:rPr>
                <w:rFonts w:cstheme="minorHAnsi"/>
                <w:color w:val="000000" w:themeColor="text1"/>
              </w:rPr>
              <w:t xml:space="preserve"> could discriminate or unfairly disadvantage people?</w:t>
            </w:r>
          </w:p>
          <w:p w14:paraId="618F9A6E" w14:textId="77777777" w:rsidR="00085980" w:rsidRDefault="00085980" w:rsidP="00B653E7">
            <w:pPr>
              <w:rPr>
                <w:rFonts w:cstheme="minorHAnsi"/>
                <w:b/>
                <w:color w:val="000000" w:themeColor="text1"/>
              </w:rPr>
            </w:pPr>
          </w:p>
        </w:tc>
        <w:tc>
          <w:tcPr>
            <w:tcW w:w="5986" w:type="dxa"/>
            <w:gridSpan w:val="2"/>
          </w:tcPr>
          <w:p w14:paraId="575D80CD" w14:textId="77777777" w:rsidR="00D35E9E" w:rsidRDefault="00ED5A6F" w:rsidP="00426F3A">
            <w:pPr>
              <w:rPr>
                <w:rFonts w:cstheme="minorHAnsi"/>
                <w:bCs/>
                <w:color w:val="000000" w:themeColor="text1"/>
              </w:rPr>
            </w:pPr>
            <w:r>
              <w:t xml:space="preserve">It is the first time we are offering Innovation Scholars secondments in </w:t>
            </w:r>
            <w:proofErr w:type="spellStart"/>
            <w:r>
              <w:t>Creatve</w:t>
            </w:r>
            <w:proofErr w:type="spellEnd"/>
            <w:r>
              <w:t xml:space="preserve"> Industries disciplines of </w:t>
            </w:r>
            <w:r w:rsidR="00AF6D23">
              <w:t>a</w:t>
            </w:r>
            <w:r>
              <w:t xml:space="preserve">rchitecture and </w:t>
            </w:r>
            <w:r w:rsidR="00AF6D23">
              <w:t>d</w:t>
            </w:r>
            <w:r>
              <w:t xml:space="preserve">esign. Therefore, there is a risk of unanticipated/ unintended issues arising, which is a part of the rationale for treating this call as a pilot. </w:t>
            </w:r>
            <w:r w:rsidR="00143EC3">
              <w:rPr>
                <w:rFonts w:cstheme="minorHAnsi"/>
                <w:bCs/>
                <w:color w:val="000000" w:themeColor="text1"/>
              </w:rPr>
              <w:t xml:space="preserve">A risk exists because the scheme is open for a wide range of candidates </w:t>
            </w:r>
            <w:r>
              <w:rPr>
                <w:rFonts w:cstheme="minorHAnsi"/>
                <w:bCs/>
                <w:color w:val="000000" w:themeColor="text1"/>
              </w:rPr>
              <w:t xml:space="preserve">from academic and </w:t>
            </w:r>
            <w:r w:rsidRPr="007B6FF1">
              <w:rPr>
                <w:rFonts w:cstheme="minorHAnsi"/>
                <w:bCs/>
              </w:rPr>
              <w:t>non-</w:t>
            </w:r>
            <w:r w:rsidR="007000C9" w:rsidRPr="007B6FF1">
              <w:rPr>
                <w:rFonts w:cstheme="minorHAnsi"/>
                <w:bCs/>
              </w:rPr>
              <w:t>a</w:t>
            </w:r>
            <w:r w:rsidRPr="007B6FF1">
              <w:rPr>
                <w:rFonts w:cstheme="minorHAnsi"/>
                <w:bCs/>
              </w:rPr>
              <w:t xml:space="preserve">cademic </w:t>
            </w:r>
            <w:r>
              <w:rPr>
                <w:rFonts w:cstheme="minorHAnsi"/>
                <w:bCs/>
                <w:color w:val="000000" w:themeColor="text1"/>
              </w:rPr>
              <w:t xml:space="preserve">backgrounds and a range of sectors, and </w:t>
            </w:r>
            <w:r w:rsidR="00143EC3">
              <w:rPr>
                <w:rFonts w:cstheme="minorHAnsi"/>
                <w:bCs/>
                <w:color w:val="000000" w:themeColor="text1"/>
              </w:rPr>
              <w:t xml:space="preserve">the secondment environment </w:t>
            </w:r>
            <w:r>
              <w:rPr>
                <w:rFonts w:cstheme="minorHAnsi"/>
                <w:bCs/>
                <w:color w:val="000000" w:themeColor="text1"/>
              </w:rPr>
              <w:t xml:space="preserve">will be </w:t>
            </w:r>
            <w:r w:rsidR="00143EC3">
              <w:rPr>
                <w:rFonts w:cstheme="minorHAnsi"/>
                <w:bCs/>
                <w:color w:val="000000" w:themeColor="text1"/>
              </w:rPr>
              <w:t>provided by receiving organisations</w:t>
            </w:r>
            <w:r>
              <w:rPr>
                <w:rFonts w:cstheme="minorHAnsi"/>
                <w:bCs/>
                <w:color w:val="000000" w:themeColor="text1"/>
              </w:rPr>
              <w:t xml:space="preserve"> with varying levels of experience in supporting EDI</w:t>
            </w:r>
            <w:r w:rsidR="00D23877">
              <w:rPr>
                <w:rFonts w:cstheme="minorHAnsi"/>
                <w:bCs/>
                <w:color w:val="000000" w:themeColor="text1"/>
              </w:rPr>
              <w:t xml:space="preserve">. </w:t>
            </w:r>
          </w:p>
          <w:p w14:paraId="15A42925" w14:textId="77777777" w:rsidR="00D35E9E" w:rsidRDefault="00D35E9E" w:rsidP="00426F3A">
            <w:pPr>
              <w:rPr>
                <w:rFonts w:cstheme="minorHAnsi"/>
                <w:bCs/>
                <w:color w:val="000000" w:themeColor="text1"/>
              </w:rPr>
            </w:pPr>
          </w:p>
          <w:p w14:paraId="1A1D9F0C" w14:textId="39232DE3" w:rsidR="00143EC3" w:rsidRDefault="00D23877" w:rsidP="00426F3A">
            <w:pPr>
              <w:rPr>
                <w:rFonts w:cstheme="minorHAnsi"/>
                <w:bCs/>
                <w:color w:val="000000" w:themeColor="text1"/>
              </w:rPr>
            </w:pPr>
            <w:r>
              <w:rPr>
                <w:rFonts w:cstheme="minorHAnsi"/>
                <w:bCs/>
                <w:color w:val="000000" w:themeColor="text1"/>
              </w:rPr>
              <w:t xml:space="preserve">This risk </w:t>
            </w:r>
            <w:r w:rsidR="00143EC3">
              <w:rPr>
                <w:rFonts w:cstheme="minorHAnsi"/>
                <w:bCs/>
                <w:color w:val="000000" w:themeColor="text1"/>
              </w:rPr>
              <w:t>is mitigated as follows:</w:t>
            </w:r>
          </w:p>
          <w:p w14:paraId="36647DBB" w14:textId="19A76851" w:rsidR="00D1555D" w:rsidRDefault="00D1555D" w:rsidP="00143EC3">
            <w:pPr>
              <w:pStyle w:val="ListParagraph"/>
              <w:numPr>
                <w:ilvl w:val="0"/>
                <w:numId w:val="35"/>
              </w:numPr>
              <w:rPr>
                <w:rFonts w:asciiTheme="minorHAnsi" w:hAnsiTheme="minorHAnsi" w:cstheme="minorHAnsi"/>
                <w:bCs/>
                <w:color w:val="000000" w:themeColor="text1"/>
              </w:rPr>
            </w:pPr>
            <w:r>
              <w:rPr>
                <w:rFonts w:asciiTheme="minorHAnsi" w:hAnsiTheme="minorHAnsi" w:cstheme="minorHAnsi"/>
                <w:bCs/>
                <w:color w:val="000000" w:themeColor="text1"/>
              </w:rPr>
              <w:t>Through the pre-announcement</w:t>
            </w:r>
            <w:r w:rsidR="00AF6D23">
              <w:rPr>
                <w:rFonts w:asciiTheme="minorHAnsi" w:hAnsiTheme="minorHAnsi" w:cstheme="minorHAnsi"/>
                <w:bCs/>
                <w:color w:val="000000" w:themeColor="text1"/>
              </w:rPr>
              <w:t xml:space="preserve">, </w:t>
            </w:r>
            <w:proofErr w:type="gramStart"/>
            <w:r w:rsidR="00AF6D23">
              <w:rPr>
                <w:rFonts w:asciiTheme="minorHAnsi" w:hAnsiTheme="minorHAnsi" w:cstheme="minorHAnsi"/>
                <w:bCs/>
                <w:color w:val="000000" w:themeColor="text1"/>
              </w:rPr>
              <w:t>information</w:t>
            </w:r>
            <w:r>
              <w:rPr>
                <w:rFonts w:asciiTheme="minorHAnsi" w:hAnsiTheme="minorHAnsi" w:cstheme="minorHAnsi"/>
                <w:bCs/>
                <w:color w:val="000000" w:themeColor="text1"/>
              </w:rPr>
              <w:t xml:space="preserve">  webinar</w:t>
            </w:r>
            <w:r w:rsidR="00AF6D23">
              <w:rPr>
                <w:rFonts w:asciiTheme="minorHAnsi" w:hAnsiTheme="minorHAnsi" w:cstheme="minorHAnsi"/>
                <w:bCs/>
                <w:color w:val="000000" w:themeColor="text1"/>
              </w:rPr>
              <w:t>s</w:t>
            </w:r>
            <w:proofErr w:type="gramEnd"/>
            <w:r w:rsidR="00AF6D23">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 keeping the call open for </w:t>
            </w:r>
            <w:r w:rsidR="00F43852">
              <w:rPr>
                <w:rFonts w:asciiTheme="minorHAnsi" w:hAnsiTheme="minorHAnsi" w:cstheme="minorHAnsi"/>
                <w:bCs/>
                <w:color w:val="000000" w:themeColor="text1"/>
              </w:rPr>
              <w:t xml:space="preserve">five </w:t>
            </w:r>
            <w:r>
              <w:rPr>
                <w:rFonts w:asciiTheme="minorHAnsi" w:hAnsiTheme="minorHAnsi" w:cstheme="minorHAnsi"/>
                <w:bCs/>
                <w:color w:val="000000" w:themeColor="text1"/>
              </w:rPr>
              <w:t>months and advertis</w:t>
            </w:r>
            <w:r w:rsidR="00AF6D23">
              <w:rPr>
                <w:rFonts w:asciiTheme="minorHAnsi" w:hAnsiTheme="minorHAnsi" w:cstheme="minorHAnsi"/>
                <w:bCs/>
                <w:color w:val="000000" w:themeColor="text1"/>
              </w:rPr>
              <w:t xml:space="preserve">ing </w:t>
            </w:r>
            <w:r>
              <w:rPr>
                <w:rFonts w:asciiTheme="minorHAnsi" w:hAnsiTheme="minorHAnsi" w:cstheme="minorHAnsi"/>
                <w:bCs/>
                <w:color w:val="000000" w:themeColor="text1"/>
              </w:rPr>
              <w:t xml:space="preserve"> through a </w:t>
            </w:r>
            <w:r w:rsidR="00AF6D23">
              <w:rPr>
                <w:rFonts w:asciiTheme="minorHAnsi" w:hAnsiTheme="minorHAnsi" w:cstheme="minorHAnsi"/>
                <w:bCs/>
                <w:color w:val="000000" w:themeColor="text1"/>
              </w:rPr>
              <w:t xml:space="preserve">wide </w:t>
            </w:r>
            <w:r>
              <w:rPr>
                <w:rFonts w:asciiTheme="minorHAnsi" w:hAnsiTheme="minorHAnsi" w:cstheme="minorHAnsi"/>
                <w:bCs/>
                <w:color w:val="000000" w:themeColor="text1"/>
              </w:rPr>
              <w:t>range of channels</w:t>
            </w:r>
          </w:p>
          <w:p w14:paraId="440C5664" w14:textId="7FD2FC4A" w:rsidR="00326699" w:rsidRDefault="00326699" w:rsidP="00143EC3">
            <w:pPr>
              <w:pStyle w:val="ListParagraph"/>
              <w:numPr>
                <w:ilvl w:val="0"/>
                <w:numId w:val="35"/>
              </w:numPr>
              <w:rPr>
                <w:rFonts w:asciiTheme="minorHAnsi" w:hAnsiTheme="minorHAnsi" w:cstheme="minorHAnsi"/>
                <w:bCs/>
                <w:color w:val="000000" w:themeColor="text1"/>
              </w:rPr>
            </w:pPr>
            <w:proofErr w:type="gramStart"/>
            <w:r>
              <w:rPr>
                <w:rFonts w:asciiTheme="minorHAnsi" w:hAnsiTheme="minorHAnsi" w:cstheme="minorHAnsi"/>
                <w:bCs/>
                <w:color w:val="000000" w:themeColor="text1"/>
              </w:rPr>
              <w:t>Through the use of</w:t>
            </w:r>
            <w:proofErr w:type="gramEnd"/>
            <w:r>
              <w:rPr>
                <w:rFonts w:asciiTheme="minorHAnsi" w:hAnsiTheme="minorHAnsi" w:cstheme="minorHAnsi"/>
                <w:bCs/>
                <w:color w:val="000000" w:themeColor="text1"/>
              </w:rPr>
              <w:t xml:space="preserve"> standard UKRI </w:t>
            </w:r>
            <w:proofErr w:type="spellStart"/>
            <w:r>
              <w:rPr>
                <w:rFonts w:asciiTheme="minorHAnsi" w:hAnsiTheme="minorHAnsi" w:cstheme="minorHAnsi"/>
                <w:bCs/>
                <w:color w:val="000000" w:themeColor="text1"/>
              </w:rPr>
              <w:t>fEC</w:t>
            </w:r>
            <w:proofErr w:type="spellEnd"/>
            <w:r>
              <w:rPr>
                <w:rFonts w:asciiTheme="minorHAnsi" w:hAnsiTheme="minorHAnsi" w:cstheme="minorHAnsi"/>
                <w:bCs/>
                <w:color w:val="000000" w:themeColor="text1"/>
              </w:rPr>
              <w:t xml:space="preserve"> Grants Terms and Conditions which provide flexibility, with an additional condition ensuring the </w:t>
            </w:r>
            <w:proofErr w:type="spellStart"/>
            <w:r>
              <w:rPr>
                <w:rFonts w:asciiTheme="minorHAnsi" w:hAnsiTheme="minorHAnsi" w:cstheme="minorHAnsi"/>
                <w:bCs/>
                <w:color w:val="000000" w:themeColor="text1"/>
              </w:rPr>
              <w:t>seconments</w:t>
            </w:r>
            <w:proofErr w:type="spellEnd"/>
            <w:r>
              <w:rPr>
                <w:rFonts w:asciiTheme="minorHAnsi" w:hAnsiTheme="minorHAnsi" w:cstheme="minorHAnsi"/>
                <w:bCs/>
                <w:color w:val="000000" w:themeColor="text1"/>
              </w:rPr>
              <w:t xml:space="preserve"> aren’t transferable which </w:t>
            </w:r>
            <w:proofErr w:type="spellStart"/>
            <w:r>
              <w:rPr>
                <w:rFonts w:asciiTheme="minorHAnsi" w:hAnsiTheme="minorHAnsi" w:cstheme="minorHAnsi"/>
                <w:bCs/>
                <w:color w:val="000000" w:themeColor="text1"/>
              </w:rPr>
              <w:t>privides</w:t>
            </w:r>
            <w:proofErr w:type="spellEnd"/>
            <w:r>
              <w:rPr>
                <w:rFonts w:asciiTheme="minorHAnsi" w:hAnsiTheme="minorHAnsi" w:cstheme="minorHAnsi"/>
                <w:bCs/>
                <w:color w:val="000000" w:themeColor="text1"/>
              </w:rPr>
              <w:t xml:space="preserve"> secondees with stability</w:t>
            </w:r>
          </w:p>
          <w:p w14:paraId="5C25A196" w14:textId="0232818F" w:rsidR="0052742D" w:rsidRPr="00855EE9" w:rsidRDefault="0052742D" w:rsidP="00143EC3">
            <w:pPr>
              <w:pStyle w:val="ListParagraph"/>
              <w:numPr>
                <w:ilvl w:val="0"/>
                <w:numId w:val="35"/>
              </w:numPr>
              <w:rPr>
                <w:rFonts w:asciiTheme="minorHAnsi" w:hAnsiTheme="minorHAnsi" w:cstheme="minorHAnsi"/>
                <w:bCs/>
                <w:color w:val="000000" w:themeColor="text1"/>
              </w:rPr>
            </w:pPr>
            <w:r>
              <w:rPr>
                <w:rFonts w:asciiTheme="minorHAnsi" w:hAnsiTheme="minorHAnsi" w:cstheme="minorHAnsi"/>
                <w:bCs/>
                <w:color w:val="000000" w:themeColor="text1"/>
              </w:rPr>
              <w:t xml:space="preserve">Through the piloting of the narrative </w:t>
            </w:r>
            <w:r w:rsidR="00E07164">
              <w:rPr>
                <w:rFonts w:asciiTheme="minorHAnsi" w:hAnsiTheme="minorHAnsi" w:cstheme="minorHAnsi"/>
                <w:bCs/>
                <w:color w:val="000000" w:themeColor="text1"/>
              </w:rPr>
              <w:t>CV</w:t>
            </w:r>
            <w:r>
              <w:rPr>
                <w:rFonts w:asciiTheme="minorHAnsi" w:hAnsiTheme="minorHAnsi" w:cstheme="minorHAnsi"/>
                <w:bCs/>
                <w:color w:val="000000" w:themeColor="text1"/>
              </w:rPr>
              <w:t xml:space="preserve"> </w:t>
            </w:r>
            <w:r w:rsidR="00E07164">
              <w:rPr>
                <w:rFonts w:asciiTheme="minorHAnsi" w:hAnsiTheme="minorHAnsi" w:cstheme="minorHAnsi"/>
                <w:bCs/>
                <w:color w:val="000000" w:themeColor="text1"/>
              </w:rPr>
              <w:t>(</w:t>
            </w:r>
            <w:r>
              <w:rPr>
                <w:rFonts w:asciiTheme="minorHAnsi" w:hAnsiTheme="minorHAnsi" w:cstheme="minorHAnsi"/>
                <w:bCs/>
                <w:color w:val="000000" w:themeColor="text1"/>
              </w:rPr>
              <w:t>‘</w:t>
            </w:r>
            <w:r w:rsidR="00E07164">
              <w:rPr>
                <w:rFonts w:asciiTheme="minorHAnsi" w:hAnsiTheme="minorHAnsi" w:cstheme="minorHAnsi"/>
                <w:bCs/>
                <w:color w:val="000000" w:themeColor="text1"/>
              </w:rPr>
              <w:t>R</w:t>
            </w:r>
            <w:r>
              <w:rPr>
                <w:rFonts w:asciiTheme="minorHAnsi" w:hAnsiTheme="minorHAnsi" w:cstheme="minorHAnsi"/>
                <w:bCs/>
                <w:color w:val="000000" w:themeColor="text1"/>
              </w:rPr>
              <w:t>esume for researchers’</w:t>
            </w:r>
            <w:r w:rsidR="00E07164">
              <w:rPr>
                <w:rFonts w:asciiTheme="minorHAnsi" w:hAnsiTheme="minorHAnsi" w:cstheme="minorHAnsi"/>
                <w:bCs/>
                <w:color w:val="000000" w:themeColor="text1"/>
              </w:rPr>
              <w:t>)</w:t>
            </w:r>
            <w:r>
              <w:rPr>
                <w:rFonts w:asciiTheme="minorHAnsi" w:hAnsiTheme="minorHAnsi" w:cstheme="minorHAnsi"/>
                <w:bCs/>
                <w:color w:val="000000" w:themeColor="text1"/>
              </w:rPr>
              <w:t xml:space="preserve"> instead of standard </w:t>
            </w:r>
            <w:r w:rsidR="00E07164">
              <w:rPr>
                <w:rFonts w:asciiTheme="minorHAnsi" w:hAnsiTheme="minorHAnsi" w:cstheme="minorHAnsi"/>
                <w:bCs/>
                <w:color w:val="000000" w:themeColor="text1"/>
              </w:rPr>
              <w:t>CV</w:t>
            </w:r>
            <w:r>
              <w:rPr>
                <w:rFonts w:asciiTheme="minorHAnsi" w:hAnsiTheme="minorHAnsi" w:cstheme="minorHAnsi"/>
                <w:bCs/>
                <w:color w:val="000000" w:themeColor="text1"/>
              </w:rPr>
              <w:t xml:space="preserve">s in order to </w:t>
            </w:r>
            <w:r>
              <w:rPr>
                <w:rFonts w:asciiTheme="minorHAnsi" w:hAnsiTheme="minorHAnsi" w:cstheme="minorHAnsi"/>
                <w:bCs/>
                <w:color w:val="000000" w:themeColor="text1"/>
              </w:rPr>
              <w:lastRenderedPageBreak/>
              <w:t>provide applicants from diverse backgrounds and career histories with opportunities to highlight their achievements of relevance to the role</w:t>
            </w:r>
            <w:r>
              <w:t xml:space="preserve"> </w:t>
            </w:r>
            <w:r w:rsidRPr="00E07164">
              <w:rPr>
                <w:rFonts w:asciiTheme="minorHAnsi" w:hAnsiTheme="minorHAnsi" w:cstheme="minorHAnsi"/>
              </w:rPr>
              <w:t>(</w:t>
            </w:r>
            <w:r w:rsidR="00855EE9" w:rsidRPr="00E07164">
              <w:rPr>
                <w:rFonts w:asciiTheme="minorHAnsi" w:hAnsiTheme="minorHAnsi" w:cstheme="minorHAnsi"/>
              </w:rPr>
              <w:t xml:space="preserve">in line with the </w:t>
            </w:r>
            <w:hyperlink r:id="rId14" w:history="1">
              <w:r w:rsidR="00E07164" w:rsidRPr="00EA009D">
                <w:rPr>
                  <w:rStyle w:val="Hyperlink"/>
                  <w:rFonts w:asciiTheme="minorHAnsi" w:hAnsiTheme="minorHAnsi" w:cstheme="minorHAnsi"/>
                </w:rPr>
                <w:t>‘F</w:t>
              </w:r>
              <w:r w:rsidR="00855EE9" w:rsidRPr="00EA009D">
                <w:rPr>
                  <w:rStyle w:val="Hyperlink"/>
                  <w:rFonts w:asciiTheme="minorHAnsi" w:hAnsiTheme="minorHAnsi" w:cstheme="minorHAnsi"/>
                </w:rPr>
                <w:t>unders</w:t>
              </w:r>
              <w:r w:rsidR="00E07164" w:rsidRPr="00EA009D">
                <w:rPr>
                  <w:rStyle w:val="Hyperlink"/>
                  <w:rFonts w:asciiTheme="minorHAnsi" w:hAnsiTheme="minorHAnsi" w:cstheme="minorHAnsi"/>
                </w:rPr>
                <w:t xml:space="preserve"> Joint Statement: Exploring a Shared Approach Towards a Narrative CV’</w:t>
              </w:r>
            </w:hyperlink>
            <w:r w:rsidR="00E07164">
              <w:rPr>
                <w:rFonts w:asciiTheme="minorHAnsi" w:hAnsiTheme="minorHAnsi" w:cstheme="minorHAnsi"/>
              </w:rPr>
              <w:t xml:space="preserve"> signed by UKRI in 2021)</w:t>
            </w:r>
          </w:p>
          <w:p w14:paraId="76051870" w14:textId="70665FDF" w:rsidR="0035232C" w:rsidRDefault="006A226A" w:rsidP="00D23877">
            <w:pPr>
              <w:pStyle w:val="ListParagraph"/>
              <w:numPr>
                <w:ilvl w:val="0"/>
                <w:numId w:val="35"/>
              </w:numPr>
              <w:rPr>
                <w:rFonts w:asciiTheme="minorHAnsi" w:hAnsiTheme="minorHAnsi" w:cstheme="minorHAnsi"/>
                <w:bCs/>
                <w:color w:val="000000" w:themeColor="text1"/>
              </w:rPr>
            </w:pPr>
            <w:r w:rsidRPr="00D23877">
              <w:rPr>
                <w:rFonts w:asciiTheme="minorHAnsi" w:hAnsiTheme="minorHAnsi" w:cstheme="minorHAnsi"/>
                <w:bCs/>
                <w:color w:val="000000" w:themeColor="text1"/>
              </w:rPr>
              <w:t>T</w:t>
            </w:r>
            <w:r w:rsidR="00D1555D" w:rsidRPr="00D23877">
              <w:rPr>
                <w:rFonts w:asciiTheme="minorHAnsi" w:hAnsiTheme="minorHAnsi" w:cstheme="minorHAnsi"/>
                <w:bCs/>
                <w:color w:val="000000" w:themeColor="text1"/>
              </w:rPr>
              <w:t xml:space="preserve">hrough the </w:t>
            </w:r>
            <w:r w:rsidR="00426F3A" w:rsidRPr="00D23877">
              <w:rPr>
                <w:rFonts w:asciiTheme="minorHAnsi" w:hAnsiTheme="minorHAnsi" w:cstheme="minorHAnsi"/>
                <w:bCs/>
                <w:color w:val="000000" w:themeColor="text1"/>
              </w:rPr>
              <w:t>assessment</w:t>
            </w:r>
            <w:r w:rsidR="00AF6D23">
              <w:rPr>
                <w:rFonts w:asciiTheme="minorHAnsi" w:hAnsiTheme="minorHAnsi" w:cstheme="minorHAnsi"/>
                <w:bCs/>
                <w:color w:val="000000" w:themeColor="text1"/>
              </w:rPr>
              <w:t xml:space="preserve"> panel process</w:t>
            </w:r>
            <w:r w:rsidR="00426F3A" w:rsidRPr="00D23877">
              <w:rPr>
                <w:rFonts w:asciiTheme="minorHAnsi" w:hAnsiTheme="minorHAnsi" w:cstheme="minorHAnsi"/>
                <w:bCs/>
                <w:color w:val="000000" w:themeColor="text1"/>
              </w:rPr>
              <w:t xml:space="preserve"> </w:t>
            </w:r>
            <w:r w:rsidR="00D1555D" w:rsidRPr="00D23877">
              <w:rPr>
                <w:rFonts w:asciiTheme="minorHAnsi" w:hAnsiTheme="minorHAnsi" w:cstheme="minorHAnsi"/>
                <w:bCs/>
                <w:color w:val="000000" w:themeColor="text1"/>
              </w:rPr>
              <w:t xml:space="preserve">which </w:t>
            </w:r>
            <w:r w:rsidRPr="00D23877">
              <w:rPr>
                <w:rFonts w:asciiTheme="minorHAnsi" w:hAnsiTheme="minorHAnsi" w:cstheme="minorHAnsi"/>
                <w:bCs/>
                <w:color w:val="000000" w:themeColor="text1"/>
              </w:rPr>
              <w:t xml:space="preserve">will </w:t>
            </w:r>
            <w:r w:rsidR="00426F3A" w:rsidRPr="00D23877">
              <w:rPr>
                <w:rFonts w:asciiTheme="minorHAnsi" w:hAnsiTheme="minorHAnsi" w:cstheme="minorHAnsi"/>
                <w:bCs/>
                <w:color w:val="000000" w:themeColor="text1"/>
              </w:rPr>
              <w:t xml:space="preserve">work according to UKRI’s equality, </w:t>
            </w:r>
            <w:proofErr w:type="gramStart"/>
            <w:r w:rsidR="00426F3A" w:rsidRPr="00D23877">
              <w:rPr>
                <w:rFonts w:asciiTheme="minorHAnsi" w:hAnsiTheme="minorHAnsi" w:cstheme="minorHAnsi"/>
                <w:bCs/>
                <w:color w:val="000000" w:themeColor="text1"/>
              </w:rPr>
              <w:t>diversity</w:t>
            </w:r>
            <w:proofErr w:type="gramEnd"/>
            <w:r w:rsidR="00426F3A" w:rsidRPr="00D23877">
              <w:rPr>
                <w:rFonts w:asciiTheme="minorHAnsi" w:hAnsiTheme="minorHAnsi" w:cstheme="minorHAnsi"/>
                <w:bCs/>
                <w:color w:val="000000" w:themeColor="text1"/>
              </w:rPr>
              <w:t xml:space="preserve"> and inclusion</w:t>
            </w:r>
            <w:r w:rsidR="00FA68F7" w:rsidRPr="00D23877">
              <w:rPr>
                <w:rFonts w:asciiTheme="minorHAnsi" w:hAnsiTheme="minorHAnsi" w:cstheme="minorHAnsi"/>
                <w:bCs/>
                <w:color w:val="000000" w:themeColor="text1"/>
              </w:rPr>
              <w:t xml:space="preserve"> (EDI)</w:t>
            </w:r>
            <w:r w:rsidR="00426F3A" w:rsidRPr="00D23877">
              <w:rPr>
                <w:rFonts w:asciiTheme="minorHAnsi" w:hAnsiTheme="minorHAnsi" w:cstheme="minorHAnsi"/>
                <w:bCs/>
                <w:color w:val="000000" w:themeColor="text1"/>
              </w:rPr>
              <w:t xml:space="preserve"> guidelines, and </w:t>
            </w:r>
            <w:r w:rsidRPr="00D23877">
              <w:rPr>
                <w:rFonts w:asciiTheme="minorHAnsi" w:hAnsiTheme="minorHAnsi" w:cstheme="minorHAnsi"/>
                <w:bCs/>
                <w:color w:val="000000" w:themeColor="text1"/>
              </w:rPr>
              <w:t xml:space="preserve">ensure that </w:t>
            </w:r>
            <w:r w:rsidR="00426F3A" w:rsidRPr="00D23877">
              <w:rPr>
                <w:rFonts w:asciiTheme="minorHAnsi" w:hAnsiTheme="minorHAnsi" w:cstheme="minorHAnsi"/>
                <w:bCs/>
                <w:color w:val="000000" w:themeColor="text1"/>
              </w:rPr>
              <w:t xml:space="preserve">all proposed secondments are in line with EDI principles </w:t>
            </w:r>
          </w:p>
          <w:p w14:paraId="333DB59C" w14:textId="2278D38B" w:rsidR="0035232C" w:rsidRDefault="00D23877" w:rsidP="00D23877">
            <w:pPr>
              <w:pStyle w:val="ListParagraph"/>
              <w:numPr>
                <w:ilvl w:val="0"/>
                <w:numId w:val="35"/>
              </w:numPr>
              <w:rPr>
                <w:rFonts w:asciiTheme="minorHAnsi" w:hAnsiTheme="minorHAnsi" w:cstheme="minorHAnsi"/>
                <w:bCs/>
                <w:color w:val="000000" w:themeColor="text1"/>
              </w:rPr>
            </w:pPr>
            <w:r>
              <w:rPr>
                <w:rFonts w:asciiTheme="minorHAnsi" w:hAnsiTheme="minorHAnsi" w:cstheme="minorHAnsi"/>
                <w:bCs/>
                <w:color w:val="000000" w:themeColor="text1"/>
              </w:rPr>
              <w:t>We will only go off-AHRC Peer Review College if we can’t find the necessary expertise to achieve balance, and the off-college assessors will be informed of EDI principles</w:t>
            </w:r>
          </w:p>
          <w:p w14:paraId="77368BEA" w14:textId="0E2DE255" w:rsidR="00D23877" w:rsidRPr="00D23877" w:rsidRDefault="00D23877" w:rsidP="00D23877">
            <w:pPr>
              <w:pStyle w:val="ListParagraph"/>
              <w:numPr>
                <w:ilvl w:val="0"/>
                <w:numId w:val="35"/>
              </w:numPr>
              <w:rPr>
                <w:rFonts w:asciiTheme="minorHAnsi" w:hAnsiTheme="minorHAnsi" w:cstheme="minorHAnsi"/>
                <w:bCs/>
                <w:color w:val="000000" w:themeColor="text1"/>
              </w:rPr>
            </w:pPr>
            <w:r w:rsidRPr="00D23877">
              <w:rPr>
                <w:rFonts w:asciiTheme="minorHAnsi" w:hAnsiTheme="minorHAnsi" w:cstheme="minorHAnsi"/>
                <w:bCs/>
                <w:color w:val="000000" w:themeColor="text1"/>
              </w:rPr>
              <w:t xml:space="preserve">Our AHRC </w:t>
            </w:r>
            <w:r w:rsidR="00AF6D23">
              <w:rPr>
                <w:rFonts w:asciiTheme="minorHAnsi" w:hAnsiTheme="minorHAnsi" w:cstheme="minorHAnsi"/>
                <w:bCs/>
                <w:color w:val="000000" w:themeColor="text1"/>
              </w:rPr>
              <w:t>P</w:t>
            </w:r>
            <w:r w:rsidRPr="00D23877">
              <w:rPr>
                <w:rFonts w:asciiTheme="minorHAnsi" w:hAnsiTheme="minorHAnsi" w:cstheme="minorHAnsi"/>
                <w:bCs/>
                <w:color w:val="000000" w:themeColor="text1"/>
              </w:rPr>
              <w:t xml:space="preserve">eer </w:t>
            </w:r>
            <w:r w:rsidR="00AF6D23">
              <w:rPr>
                <w:rFonts w:asciiTheme="minorHAnsi" w:hAnsiTheme="minorHAnsi" w:cstheme="minorHAnsi"/>
                <w:bCs/>
                <w:color w:val="000000" w:themeColor="text1"/>
              </w:rPr>
              <w:t>R</w:t>
            </w:r>
            <w:r w:rsidRPr="00D23877">
              <w:rPr>
                <w:rFonts w:asciiTheme="minorHAnsi" w:hAnsiTheme="minorHAnsi" w:cstheme="minorHAnsi"/>
                <w:bCs/>
                <w:color w:val="000000" w:themeColor="text1"/>
              </w:rPr>
              <w:t xml:space="preserve">eview </w:t>
            </w:r>
            <w:r w:rsidR="00AF6D23">
              <w:rPr>
                <w:rFonts w:asciiTheme="minorHAnsi" w:hAnsiTheme="minorHAnsi" w:cstheme="minorHAnsi"/>
                <w:bCs/>
                <w:color w:val="000000" w:themeColor="text1"/>
              </w:rPr>
              <w:t>C</w:t>
            </w:r>
            <w:r w:rsidRPr="00D23877">
              <w:rPr>
                <w:rFonts w:asciiTheme="minorHAnsi" w:hAnsiTheme="minorHAnsi" w:cstheme="minorHAnsi"/>
                <w:bCs/>
                <w:color w:val="000000" w:themeColor="text1"/>
              </w:rPr>
              <w:t xml:space="preserve">ollege </w:t>
            </w:r>
            <w:r w:rsidR="0035232C">
              <w:rPr>
                <w:rFonts w:asciiTheme="minorHAnsi" w:hAnsiTheme="minorHAnsi" w:cstheme="minorHAnsi"/>
                <w:bCs/>
                <w:color w:val="000000" w:themeColor="text1"/>
              </w:rPr>
              <w:t xml:space="preserve">training materials cover </w:t>
            </w:r>
            <w:r w:rsidRPr="00D23877">
              <w:rPr>
                <w:rFonts w:asciiTheme="minorHAnsi" w:hAnsiTheme="minorHAnsi" w:cstheme="minorHAnsi"/>
                <w:bCs/>
                <w:color w:val="000000" w:themeColor="text1"/>
              </w:rPr>
              <w:t>EDI</w:t>
            </w:r>
            <w:r w:rsidR="0035232C">
              <w:rPr>
                <w:rFonts w:asciiTheme="minorHAnsi" w:hAnsiTheme="minorHAnsi" w:cstheme="minorHAnsi"/>
                <w:bCs/>
                <w:color w:val="000000" w:themeColor="text1"/>
              </w:rPr>
              <w:t>, including unconscious bias. A</w:t>
            </w:r>
            <w:r w:rsidRPr="00D23877">
              <w:rPr>
                <w:rFonts w:asciiTheme="minorHAnsi" w:hAnsiTheme="minorHAnsi" w:cstheme="minorHAnsi"/>
                <w:bCs/>
                <w:color w:val="000000" w:themeColor="text1"/>
              </w:rPr>
              <w:t xml:space="preserve">ny off-college reviewers are strongly encouraged to read AHRC EDI PRC training </w:t>
            </w:r>
            <w:proofErr w:type="gramStart"/>
            <w:r w:rsidRPr="00D23877">
              <w:rPr>
                <w:rFonts w:asciiTheme="minorHAnsi" w:hAnsiTheme="minorHAnsi" w:cstheme="minorHAnsi"/>
                <w:bCs/>
                <w:color w:val="000000" w:themeColor="text1"/>
              </w:rPr>
              <w:t xml:space="preserve">materials  </w:t>
            </w:r>
            <w:r>
              <w:rPr>
                <w:rFonts w:asciiTheme="minorHAnsi" w:hAnsiTheme="minorHAnsi" w:cstheme="minorHAnsi"/>
                <w:bCs/>
                <w:color w:val="000000" w:themeColor="text1"/>
              </w:rPr>
              <w:t>on</w:t>
            </w:r>
            <w:proofErr w:type="gramEnd"/>
            <w:r>
              <w:rPr>
                <w:rFonts w:asciiTheme="minorHAnsi" w:hAnsiTheme="minorHAnsi" w:cstheme="minorHAnsi"/>
                <w:bCs/>
                <w:color w:val="000000" w:themeColor="text1"/>
              </w:rPr>
              <w:t xml:space="preserve"> </w:t>
            </w:r>
            <w:hyperlink r:id="rId15" w:history="1">
              <w:r w:rsidRPr="00EA009D">
                <w:rPr>
                  <w:rStyle w:val="Hyperlink"/>
                  <w:rFonts w:asciiTheme="minorHAnsi" w:hAnsiTheme="minorHAnsi" w:cstheme="minorHAnsi"/>
                  <w:bCs/>
                </w:rPr>
                <w:t>our web</w:t>
              </w:r>
              <w:r w:rsidR="00D31A0C" w:rsidRPr="00EA009D">
                <w:rPr>
                  <w:rStyle w:val="Hyperlink"/>
                  <w:rFonts w:asciiTheme="minorHAnsi" w:hAnsiTheme="minorHAnsi" w:cstheme="minorHAnsi"/>
                  <w:bCs/>
                </w:rPr>
                <w:t>si</w:t>
              </w:r>
              <w:r w:rsidRPr="00EA009D">
                <w:rPr>
                  <w:rStyle w:val="Hyperlink"/>
                  <w:rFonts w:asciiTheme="minorHAnsi" w:hAnsiTheme="minorHAnsi" w:cstheme="minorHAnsi"/>
                  <w:bCs/>
                </w:rPr>
                <w:t>te</w:t>
              </w:r>
            </w:hyperlink>
            <w:r w:rsidR="00EA009D">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 </w:t>
            </w:r>
          </w:p>
          <w:p w14:paraId="33876C91" w14:textId="3C22E66F" w:rsidR="00A75F7F" w:rsidRPr="00143EC3" w:rsidRDefault="00AF6D23" w:rsidP="00143EC3">
            <w:pPr>
              <w:pStyle w:val="ListParagraph"/>
              <w:numPr>
                <w:ilvl w:val="0"/>
                <w:numId w:val="35"/>
              </w:numPr>
              <w:rPr>
                <w:rFonts w:asciiTheme="minorHAnsi" w:hAnsiTheme="minorHAnsi" w:cstheme="minorHAnsi"/>
                <w:bCs/>
                <w:color w:val="000000" w:themeColor="text1"/>
              </w:rPr>
            </w:pPr>
            <w:r>
              <w:rPr>
                <w:rFonts w:asciiTheme="minorHAnsi" w:hAnsiTheme="minorHAnsi" w:cstheme="minorHAnsi"/>
                <w:bCs/>
                <w:color w:val="000000" w:themeColor="text1"/>
              </w:rPr>
              <w:t xml:space="preserve">When </w:t>
            </w:r>
            <w:r w:rsidR="002E46B6" w:rsidRPr="002E46B6">
              <w:rPr>
                <w:rFonts w:asciiTheme="minorHAnsi" w:hAnsiTheme="minorHAnsi" w:cstheme="minorHAnsi"/>
                <w:bCs/>
                <w:color w:val="000000" w:themeColor="text1"/>
              </w:rPr>
              <w:t xml:space="preserve">an assessment panel </w:t>
            </w:r>
            <w:r w:rsidR="00D23877">
              <w:rPr>
                <w:rFonts w:asciiTheme="minorHAnsi" w:hAnsiTheme="minorHAnsi" w:cstheme="minorHAnsi"/>
                <w:bCs/>
                <w:color w:val="000000" w:themeColor="text1"/>
              </w:rPr>
              <w:t xml:space="preserve">meeting </w:t>
            </w:r>
            <w:r w:rsidR="002E46B6">
              <w:rPr>
                <w:rFonts w:asciiTheme="minorHAnsi" w:hAnsiTheme="minorHAnsi" w:cstheme="minorHAnsi"/>
                <w:bCs/>
                <w:color w:val="000000" w:themeColor="text1"/>
              </w:rPr>
              <w:t>is organised, AHR</w:t>
            </w:r>
            <w:r w:rsidR="00D23877">
              <w:rPr>
                <w:rFonts w:asciiTheme="minorHAnsi" w:hAnsiTheme="minorHAnsi" w:cstheme="minorHAnsi"/>
                <w:bCs/>
                <w:color w:val="000000" w:themeColor="text1"/>
              </w:rPr>
              <w:t>C</w:t>
            </w:r>
            <w:r w:rsidR="002E46B6">
              <w:rPr>
                <w:rFonts w:asciiTheme="minorHAnsi" w:hAnsiTheme="minorHAnsi" w:cstheme="minorHAnsi"/>
                <w:bCs/>
                <w:color w:val="000000" w:themeColor="text1"/>
              </w:rPr>
              <w:t xml:space="preserve"> will make the panellists aware of</w:t>
            </w:r>
            <w:r w:rsidR="002E46B6" w:rsidRPr="002E46B6">
              <w:rPr>
                <w:rFonts w:asciiTheme="minorHAnsi" w:hAnsiTheme="minorHAnsi" w:cstheme="minorHAnsi"/>
                <w:bCs/>
                <w:color w:val="000000" w:themeColor="text1"/>
              </w:rPr>
              <w:t xml:space="preserve"> unconscious bias and empower everyone in attendance to challenge cases of bias.</w:t>
            </w:r>
          </w:p>
          <w:p w14:paraId="2CB645A8" w14:textId="77777777" w:rsidR="00326699" w:rsidRDefault="00326699" w:rsidP="00326699">
            <w:pPr>
              <w:rPr>
                <w:rFonts w:cstheme="minorHAnsi"/>
                <w:bCs/>
                <w:color w:val="000000" w:themeColor="text1"/>
              </w:rPr>
            </w:pPr>
          </w:p>
          <w:p w14:paraId="2E4AA0CD" w14:textId="07679B1C" w:rsidR="005B658E" w:rsidRPr="00326699" w:rsidRDefault="00C536DA" w:rsidP="00326699">
            <w:pPr>
              <w:rPr>
                <w:rFonts w:cstheme="minorHAnsi"/>
                <w:bCs/>
                <w:color w:val="000000" w:themeColor="text1"/>
              </w:rPr>
            </w:pPr>
            <w:r w:rsidRPr="00326699">
              <w:rPr>
                <w:rFonts w:cstheme="minorHAnsi"/>
                <w:bCs/>
                <w:color w:val="000000" w:themeColor="text1"/>
              </w:rPr>
              <w:t>AHRC and UKRI expects the receiving organisations to support potential and successful secondees with diverse needs at the point of application and throughout their secondments, addressing their needs and providing a welcoming and inclusive work environment.</w:t>
            </w:r>
            <w:r>
              <w:t xml:space="preserve"> </w:t>
            </w:r>
            <w:r w:rsidR="00D1555D">
              <w:t xml:space="preserve"> </w:t>
            </w:r>
          </w:p>
          <w:p w14:paraId="618F9A6F" w14:textId="670A9D70" w:rsidR="005B658E" w:rsidRPr="005B658E" w:rsidRDefault="005B658E" w:rsidP="005B658E">
            <w:pPr>
              <w:rPr>
                <w:rFonts w:cstheme="minorHAnsi"/>
                <w:bCs/>
                <w:color w:val="000000" w:themeColor="text1"/>
              </w:rPr>
            </w:pPr>
          </w:p>
        </w:tc>
      </w:tr>
      <w:tr w:rsidR="00085980" w14:paraId="618F9A75" w14:textId="77777777" w:rsidTr="00E07164">
        <w:tc>
          <w:tcPr>
            <w:tcW w:w="3256" w:type="dxa"/>
            <w:shd w:val="clear" w:color="auto" w:fill="C6D9F1" w:themeFill="text2" w:themeFillTint="33"/>
          </w:tcPr>
          <w:p w14:paraId="618F9A71" w14:textId="77777777" w:rsidR="00085980" w:rsidRDefault="00085980" w:rsidP="00B653E7">
            <w:pPr>
              <w:rPr>
                <w:rFonts w:cstheme="minorHAnsi"/>
                <w:b/>
                <w:color w:val="000000" w:themeColor="text1"/>
              </w:rPr>
            </w:pPr>
            <w:r w:rsidRPr="00B34C4E">
              <w:rPr>
                <w:rFonts w:cstheme="minorHAnsi"/>
                <w:b/>
                <w:color w:val="000000" w:themeColor="text1"/>
              </w:rPr>
              <w:lastRenderedPageBreak/>
              <w:t>Final Decision</w:t>
            </w:r>
            <w:r>
              <w:rPr>
                <w:rFonts w:cstheme="minorHAnsi"/>
                <w:b/>
                <w:color w:val="000000" w:themeColor="text1"/>
              </w:rPr>
              <w:t>:</w:t>
            </w:r>
          </w:p>
          <w:p w14:paraId="618F9A72" w14:textId="77777777" w:rsidR="00085980" w:rsidRPr="00B34C4E" w:rsidRDefault="00085980" w:rsidP="00B653E7">
            <w:pPr>
              <w:rPr>
                <w:rFonts w:cstheme="minorHAnsi"/>
                <w:b/>
                <w:color w:val="000000" w:themeColor="text1"/>
              </w:rPr>
            </w:pPr>
          </w:p>
        </w:tc>
        <w:tc>
          <w:tcPr>
            <w:tcW w:w="2097" w:type="dxa"/>
            <w:shd w:val="clear" w:color="auto" w:fill="C6D9F1" w:themeFill="text2" w:themeFillTint="33"/>
          </w:tcPr>
          <w:p w14:paraId="618F9A73" w14:textId="77777777" w:rsidR="00085980" w:rsidRDefault="00085980" w:rsidP="00B653E7">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618F9A74" w14:textId="77777777" w:rsidR="00085980" w:rsidRDefault="00085980" w:rsidP="00B653E7">
            <w:pPr>
              <w:rPr>
                <w:rFonts w:cstheme="minorHAnsi"/>
                <w:b/>
                <w:color w:val="000000" w:themeColor="text1"/>
              </w:rPr>
            </w:pPr>
            <w:r>
              <w:rPr>
                <w:rFonts w:cstheme="minorHAnsi"/>
                <w:b/>
                <w:color w:val="000000" w:themeColor="text1"/>
              </w:rPr>
              <w:t>Include any explanation / justification required</w:t>
            </w:r>
          </w:p>
        </w:tc>
      </w:tr>
      <w:tr w:rsidR="00085980" w14:paraId="618F9A79" w14:textId="77777777" w:rsidTr="00E07164">
        <w:tc>
          <w:tcPr>
            <w:tcW w:w="3256" w:type="dxa"/>
          </w:tcPr>
          <w:p w14:paraId="618F9A76"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No barriers </w:t>
            </w:r>
            <w:proofErr w:type="gramStart"/>
            <w:r w:rsidRPr="00496450">
              <w:rPr>
                <w:rFonts w:cstheme="minorHAnsi"/>
                <w:color w:val="000000" w:themeColor="text1"/>
              </w:rPr>
              <w:t>identified,</w:t>
            </w:r>
            <w:proofErr w:type="gramEnd"/>
            <w:r w:rsidRPr="00496450">
              <w:rPr>
                <w:rFonts w:cstheme="minorHAnsi"/>
                <w:color w:val="000000" w:themeColor="text1"/>
              </w:rPr>
              <w:t xml:space="preserve"> therefore activity will </w:t>
            </w:r>
            <w:r w:rsidRPr="00585DA9">
              <w:rPr>
                <w:rFonts w:cstheme="minorHAnsi"/>
                <w:b/>
                <w:color w:val="000000" w:themeColor="text1"/>
              </w:rPr>
              <w:t>proceed</w:t>
            </w:r>
            <w:r w:rsidRPr="00496450">
              <w:rPr>
                <w:rFonts w:cstheme="minorHAnsi"/>
                <w:color w:val="000000" w:themeColor="text1"/>
              </w:rPr>
              <w:t>.</w:t>
            </w:r>
          </w:p>
        </w:tc>
        <w:tc>
          <w:tcPr>
            <w:tcW w:w="2097" w:type="dxa"/>
          </w:tcPr>
          <w:p w14:paraId="618F9A77" w14:textId="77777777" w:rsidR="00085980" w:rsidRDefault="00085980" w:rsidP="00B653E7">
            <w:pPr>
              <w:rPr>
                <w:rFonts w:cstheme="minorHAnsi"/>
                <w:b/>
                <w:color w:val="000000" w:themeColor="text1"/>
              </w:rPr>
            </w:pPr>
          </w:p>
        </w:tc>
        <w:tc>
          <w:tcPr>
            <w:tcW w:w="3889" w:type="dxa"/>
          </w:tcPr>
          <w:p w14:paraId="618F9A78" w14:textId="77777777" w:rsidR="00085980" w:rsidRDefault="00085980" w:rsidP="00B653E7">
            <w:pPr>
              <w:rPr>
                <w:rFonts w:cstheme="minorHAnsi"/>
                <w:b/>
                <w:color w:val="000000" w:themeColor="text1"/>
              </w:rPr>
            </w:pPr>
          </w:p>
        </w:tc>
      </w:tr>
      <w:tr w:rsidR="00085980" w14:paraId="618F9A7D" w14:textId="77777777" w:rsidTr="00E07164">
        <w:tc>
          <w:tcPr>
            <w:tcW w:w="3256" w:type="dxa"/>
          </w:tcPr>
          <w:p w14:paraId="618F9A7A"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 one or more groups </w:t>
            </w:r>
          </w:p>
        </w:tc>
        <w:tc>
          <w:tcPr>
            <w:tcW w:w="2097" w:type="dxa"/>
          </w:tcPr>
          <w:p w14:paraId="618F9A7B" w14:textId="77777777" w:rsidR="00085980" w:rsidRDefault="00085980" w:rsidP="00B653E7">
            <w:pPr>
              <w:rPr>
                <w:rFonts w:cstheme="minorHAnsi"/>
                <w:b/>
                <w:color w:val="000000" w:themeColor="text1"/>
              </w:rPr>
            </w:pPr>
          </w:p>
        </w:tc>
        <w:tc>
          <w:tcPr>
            <w:tcW w:w="3889" w:type="dxa"/>
          </w:tcPr>
          <w:p w14:paraId="618F9A7C" w14:textId="77777777" w:rsidR="00085980" w:rsidRDefault="00085980" w:rsidP="00B653E7">
            <w:pPr>
              <w:rPr>
                <w:rFonts w:cstheme="minorHAnsi"/>
                <w:b/>
                <w:color w:val="000000" w:themeColor="text1"/>
              </w:rPr>
            </w:pPr>
          </w:p>
        </w:tc>
      </w:tr>
      <w:tr w:rsidR="00085980" w14:paraId="618F9A81" w14:textId="77777777" w:rsidTr="00E07164">
        <w:tc>
          <w:tcPr>
            <w:tcW w:w="3256" w:type="dxa"/>
          </w:tcPr>
          <w:p w14:paraId="618F9A7E"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p>
        </w:tc>
        <w:tc>
          <w:tcPr>
            <w:tcW w:w="2097" w:type="dxa"/>
          </w:tcPr>
          <w:p w14:paraId="440D0F44" w14:textId="77777777" w:rsidR="00085980" w:rsidRDefault="00085980" w:rsidP="00B653E7">
            <w:pPr>
              <w:rPr>
                <w:rFonts w:cstheme="minorHAnsi"/>
                <w:b/>
                <w:color w:val="000000" w:themeColor="text1"/>
              </w:rPr>
            </w:pPr>
          </w:p>
          <w:p w14:paraId="618F9A7F" w14:textId="440F815D" w:rsidR="00621FE1" w:rsidRPr="00621FE1" w:rsidRDefault="00621FE1" w:rsidP="00621FE1">
            <w:pPr>
              <w:jc w:val="center"/>
              <w:rPr>
                <w:rFonts w:cstheme="minorHAnsi"/>
              </w:rPr>
            </w:pPr>
            <w:r>
              <w:rPr>
                <w:rFonts w:cstheme="minorHAnsi"/>
              </w:rPr>
              <w:t>X</w:t>
            </w:r>
          </w:p>
        </w:tc>
        <w:tc>
          <w:tcPr>
            <w:tcW w:w="3889" w:type="dxa"/>
          </w:tcPr>
          <w:p w14:paraId="68BEFEBC" w14:textId="50AFE418" w:rsidR="00085980" w:rsidRDefault="00426F3A" w:rsidP="5B037A42">
            <w:pPr>
              <w:rPr>
                <w:color w:val="000000" w:themeColor="text1"/>
              </w:rPr>
            </w:pPr>
            <w:r>
              <w:rPr>
                <w:color w:val="000000" w:themeColor="text1"/>
              </w:rPr>
              <w:t xml:space="preserve">The opportunity advertised through this call </w:t>
            </w:r>
            <w:r w:rsidR="00946CE3">
              <w:rPr>
                <w:color w:val="000000" w:themeColor="text1"/>
              </w:rPr>
              <w:t>has been designed to be</w:t>
            </w:r>
            <w:r w:rsidR="00143EC3">
              <w:rPr>
                <w:color w:val="000000" w:themeColor="text1"/>
              </w:rPr>
              <w:t xml:space="preserve"> </w:t>
            </w:r>
            <w:r>
              <w:rPr>
                <w:color w:val="000000" w:themeColor="text1"/>
              </w:rPr>
              <w:t xml:space="preserve">flexible to accommodate diverse needs. </w:t>
            </w:r>
            <w:r w:rsidR="4729467D" w:rsidRPr="5B037A42">
              <w:rPr>
                <w:color w:val="000000" w:themeColor="text1"/>
              </w:rPr>
              <w:t xml:space="preserve">AHRC expects </w:t>
            </w:r>
            <w:r>
              <w:rPr>
                <w:color w:val="000000" w:themeColor="text1"/>
              </w:rPr>
              <w:t>successful applicants and r</w:t>
            </w:r>
            <w:r w:rsidR="00946CE3">
              <w:rPr>
                <w:color w:val="000000" w:themeColor="text1"/>
              </w:rPr>
              <w:t>e</w:t>
            </w:r>
            <w:r>
              <w:rPr>
                <w:color w:val="000000" w:themeColor="text1"/>
              </w:rPr>
              <w:t>ce</w:t>
            </w:r>
            <w:r w:rsidR="00946CE3">
              <w:rPr>
                <w:color w:val="000000" w:themeColor="text1"/>
              </w:rPr>
              <w:t>i</w:t>
            </w:r>
            <w:r>
              <w:rPr>
                <w:color w:val="000000" w:themeColor="text1"/>
              </w:rPr>
              <w:t xml:space="preserve">ving organisations </w:t>
            </w:r>
            <w:r w:rsidR="4729467D" w:rsidRPr="5B037A42">
              <w:rPr>
                <w:color w:val="000000" w:themeColor="text1"/>
              </w:rPr>
              <w:t xml:space="preserve">to </w:t>
            </w:r>
            <w:r w:rsidR="00946CE3">
              <w:rPr>
                <w:color w:val="000000" w:themeColor="text1"/>
              </w:rPr>
              <w:t>organise</w:t>
            </w:r>
            <w:r w:rsidR="00946CE3" w:rsidRPr="5B037A42">
              <w:rPr>
                <w:color w:val="000000" w:themeColor="text1"/>
              </w:rPr>
              <w:t xml:space="preserve"> </w:t>
            </w:r>
            <w:r w:rsidR="4729467D" w:rsidRPr="5B037A42">
              <w:rPr>
                <w:color w:val="000000" w:themeColor="text1"/>
              </w:rPr>
              <w:t>and deliver the</w:t>
            </w:r>
            <w:r>
              <w:rPr>
                <w:color w:val="000000" w:themeColor="text1"/>
              </w:rPr>
              <w:t xml:space="preserve"> secondments</w:t>
            </w:r>
            <w:r w:rsidR="4729467D" w:rsidRPr="5B037A42">
              <w:rPr>
                <w:color w:val="000000" w:themeColor="text1"/>
              </w:rPr>
              <w:t xml:space="preserve"> in a way which eliminates barriers and bias. AHRC gives </w:t>
            </w:r>
            <w:r>
              <w:rPr>
                <w:color w:val="000000" w:themeColor="text1"/>
              </w:rPr>
              <w:t xml:space="preserve">secondees and their partner organisations the </w:t>
            </w:r>
            <w:r w:rsidR="4729467D" w:rsidRPr="5B037A42">
              <w:rPr>
                <w:color w:val="000000" w:themeColor="text1"/>
              </w:rPr>
              <w:t>flexibility and owner</w:t>
            </w:r>
            <w:r w:rsidR="0BF05971" w:rsidRPr="5B037A42">
              <w:rPr>
                <w:color w:val="000000" w:themeColor="text1"/>
              </w:rPr>
              <w:t>s</w:t>
            </w:r>
            <w:r w:rsidR="4729467D" w:rsidRPr="5B037A42">
              <w:rPr>
                <w:color w:val="000000" w:themeColor="text1"/>
              </w:rPr>
              <w:t xml:space="preserve">hip to </w:t>
            </w:r>
            <w:r w:rsidR="00946CE3">
              <w:rPr>
                <w:color w:val="000000" w:themeColor="text1"/>
              </w:rPr>
              <w:t>meet diverse needs</w:t>
            </w:r>
            <w:r w:rsidR="4729467D" w:rsidRPr="5B037A42">
              <w:rPr>
                <w:color w:val="000000" w:themeColor="text1"/>
              </w:rPr>
              <w:t xml:space="preserve">. </w:t>
            </w:r>
          </w:p>
          <w:p w14:paraId="544CAA60" w14:textId="77777777" w:rsidR="00C536DA" w:rsidRDefault="00C536DA" w:rsidP="5B037A42">
            <w:pPr>
              <w:rPr>
                <w:color w:val="000000" w:themeColor="text1"/>
              </w:rPr>
            </w:pPr>
          </w:p>
          <w:p w14:paraId="1C30F49B" w14:textId="1792454F" w:rsidR="00C536DA" w:rsidRDefault="00C536DA" w:rsidP="00C536DA">
            <w:r>
              <w:t xml:space="preserve">AHRC and UKRI will provide reasonable adjustments during the two planned networking events if needed, and a </w:t>
            </w:r>
            <w:r>
              <w:lastRenderedPageBreak/>
              <w:t>separate EIA for events will be produced if secondees have such needs.</w:t>
            </w:r>
          </w:p>
          <w:p w14:paraId="6179A6DD" w14:textId="13034AD9" w:rsidR="00D23877" w:rsidRDefault="00D23877" w:rsidP="00C536DA"/>
          <w:p w14:paraId="005B2327" w14:textId="0492609D" w:rsidR="00D23877" w:rsidRDefault="00D23877" w:rsidP="00C536DA">
            <w:r>
              <w:t>Lessons learned from this pilot call will help us to make future Innovation Scholars calls more inclusive should an opportunity for more calls arise.</w:t>
            </w:r>
          </w:p>
          <w:p w14:paraId="618F9A80" w14:textId="023F5FD9" w:rsidR="00C536DA" w:rsidRPr="00446DA1" w:rsidRDefault="00C536DA" w:rsidP="5B037A42">
            <w:pPr>
              <w:rPr>
                <w:color w:val="000000" w:themeColor="text1"/>
              </w:rPr>
            </w:pPr>
          </w:p>
        </w:tc>
      </w:tr>
      <w:tr w:rsidR="00085980" w14:paraId="618F9A85" w14:textId="77777777" w:rsidTr="00E07164">
        <w:tc>
          <w:tcPr>
            <w:tcW w:w="3256" w:type="dxa"/>
          </w:tcPr>
          <w:p w14:paraId="618F9A82" w14:textId="77777777" w:rsidR="00085980" w:rsidRPr="00496450" w:rsidRDefault="00085980" w:rsidP="00B653E7">
            <w:pPr>
              <w:numPr>
                <w:ilvl w:val="0"/>
                <w:numId w:val="16"/>
              </w:numPr>
              <w:rPr>
                <w:rFonts w:cstheme="minorHAnsi"/>
                <w:color w:val="000000" w:themeColor="text1"/>
              </w:rPr>
            </w:pPr>
            <w:r w:rsidRPr="00C44F3C">
              <w:rPr>
                <w:rFonts w:cstheme="minorHAnsi"/>
                <w:color w:val="000000" w:themeColor="text1"/>
              </w:rPr>
              <w:lastRenderedPageBreak/>
              <w:t>Barriers and impact identified, however having considered all available options carefully, there appear to be no other proportionate ways to achieve the aim of the policy or practice (</w:t>
            </w:r>
            <w:proofErr w:type="gramStart"/>
            <w:r w:rsidRPr="00C44F3C">
              <w:rPr>
                <w:rFonts w:cstheme="minorHAnsi"/>
                <w:color w:val="000000" w:themeColor="text1"/>
              </w:rPr>
              <w:t>e.g.</w:t>
            </w:r>
            <w:proofErr w:type="gramEnd"/>
            <w:r w:rsidRPr="00C44F3C">
              <w:rPr>
                <w:rFonts w:cstheme="minorHAnsi"/>
                <w:color w:val="000000" w:themeColor="text1"/>
              </w:rPr>
              <w:t xml:space="preserve"> in extreme cases or where positive action is taken). </w:t>
            </w:r>
            <w:proofErr w:type="gramStart"/>
            <w:r w:rsidRPr="00C44F3C">
              <w:rPr>
                <w:rFonts w:cstheme="minorHAnsi"/>
                <w:color w:val="000000" w:themeColor="text1"/>
              </w:rPr>
              <w:t>Therefore</w:t>
            </w:r>
            <w:proofErr w:type="gramEnd"/>
            <w:r w:rsidRPr="00C44F3C">
              <w:rPr>
                <w:rFonts w:cstheme="minorHAnsi"/>
                <w:color w:val="000000" w:themeColor="text1"/>
              </w:rPr>
              <w:t xml:space="preserv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2097" w:type="dxa"/>
          </w:tcPr>
          <w:p w14:paraId="618F9A83" w14:textId="77777777" w:rsidR="00085980" w:rsidRDefault="00085980" w:rsidP="00B653E7">
            <w:pPr>
              <w:rPr>
                <w:rFonts w:cstheme="minorHAnsi"/>
                <w:b/>
                <w:color w:val="000000" w:themeColor="text1"/>
              </w:rPr>
            </w:pPr>
          </w:p>
        </w:tc>
        <w:tc>
          <w:tcPr>
            <w:tcW w:w="3889" w:type="dxa"/>
          </w:tcPr>
          <w:p w14:paraId="618F9A84" w14:textId="77777777" w:rsidR="00085980" w:rsidRDefault="00085980" w:rsidP="00B653E7">
            <w:pPr>
              <w:rPr>
                <w:rFonts w:cstheme="minorHAnsi"/>
                <w:b/>
                <w:color w:val="000000" w:themeColor="text1"/>
              </w:rPr>
            </w:pPr>
          </w:p>
        </w:tc>
      </w:tr>
    </w:tbl>
    <w:p w14:paraId="618F9A87" w14:textId="77777777"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07"/>
        <w:gridCol w:w="4509"/>
      </w:tblGrid>
      <w:tr w:rsidR="00085980" w:rsidRPr="00D10282" w14:paraId="618F9A8C" w14:textId="77777777" w:rsidTr="0012321A">
        <w:tc>
          <w:tcPr>
            <w:tcW w:w="4621" w:type="dxa"/>
            <w:shd w:val="clear" w:color="auto" w:fill="C6D9F1" w:themeFill="text2" w:themeFillTint="33"/>
          </w:tcPr>
          <w:p w14:paraId="618F9A88" w14:textId="77777777" w:rsidR="00085980" w:rsidRDefault="00085980" w:rsidP="00B653E7">
            <w:pPr>
              <w:rPr>
                <w:rFonts w:cstheme="minorHAnsi"/>
                <w:b/>
                <w:color w:val="000000" w:themeColor="text1"/>
              </w:rPr>
            </w:pPr>
            <w:r w:rsidRPr="000F44F6">
              <w:rPr>
                <w:rFonts w:cstheme="minorHAnsi"/>
                <w:b/>
                <w:color w:val="000000" w:themeColor="text1"/>
              </w:rPr>
              <w:t>Will this EIA be published</w:t>
            </w:r>
            <w:r>
              <w:rPr>
                <w:rFonts w:cstheme="minorHAnsi"/>
                <w:b/>
                <w:color w:val="000000" w:themeColor="text1"/>
              </w:rPr>
              <w:t>* Yes/Not required</w:t>
            </w:r>
          </w:p>
          <w:p w14:paraId="618F9A89" w14:textId="266FE252" w:rsidR="00085980" w:rsidRPr="00A55355" w:rsidRDefault="00085980" w:rsidP="00B653E7">
            <w:pPr>
              <w:rPr>
                <w:rFonts w:cstheme="minorHAnsi"/>
                <w:color w:val="000000" w:themeColor="text1"/>
              </w:rPr>
            </w:pPr>
            <w:r w:rsidRPr="00A55355">
              <w:rPr>
                <w:rFonts w:cstheme="minorHAnsi"/>
                <w:color w:val="000000" w:themeColor="text1"/>
              </w:rPr>
              <w:t>(*EIA’s should be published alongside relevant funding activities</w:t>
            </w:r>
            <w:r>
              <w:rPr>
                <w:rFonts w:cstheme="minorHAnsi"/>
                <w:color w:val="000000" w:themeColor="text1"/>
              </w:rPr>
              <w:t xml:space="preserve"> </w:t>
            </w:r>
            <w:proofErr w:type="gramStart"/>
            <w:r>
              <w:rPr>
                <w:rFonts w:cstheme="minorHAnsi"/>
                <w:color w:val="000000" w:themeColor="text1"/>
              </w:rPr>
              <w:t>e.g.</w:t>
            </w:r>
            <w:proofErr w:type="gramEnd"/>
            <w:r>
              <w:rPr>
                <w:rFonts w:cstheme="minorHAnsi"/>
                <w:color w:val="000000" w:themeColor="text1"/>
              </w:rPr>
              <w:t xml:space="preserve"> calls</w:t>
            </w:r>
            <w:r w:rsidRPr="00A55355">
              <w:rPr>
                <w:rFonts w:cstheme="minorHAnsi"/>
                <w:color w:val="000000" w:themeColor="text1"/>
              </w:rPr>
              <w:t xml:space="preserve"> and events</w:t>
            </w:r>
            <w:r w:rsidR="00446DA1">
              <w:rPr>
                <w:rFonts w:cstheme="minorHAnsi"/>
                <w:color w:val="000000" w:themeColor="text1"/>
              </w:rPr>
              <w:t>)</w:t>
            </w:r>
            <w:r w:rsidRPr="00A55355">
              <w:rPr>
                <w:rFonts w:cstheme="minorHAnsi"/>
                <w:color w:val="000000" w:themeColor="text1"/>
              </w:rPr>
              <w:t xml:space="preserve"> </w:t>
            </w:r>
          </w:p>
          <w:p w14:paraId="618F9A8A" w14:textId="77777777" w:rsidR="00085980" w:rsidRPr="00D10282" w:rsidRDefault="00085980" w:rsidP="00B653E7">
            <w:pPr>
              <w:rPr>
                <w:rFonts w:cstheme="minorHAnsi"/>
                <w:b/>
                <w:color w:val="000000" w:themeColor="text1"/>
              </w:rPr>
            </w:pPr>
          </w:p>
        </w:tc>
        <w:tc>
          <w:tcPr>
            <w:tcW w:w="4621" w:type="dxa"/>
          </w:tcPr>
          <w:p w14:paraId="618F9A8B" w14:textId="1DAD3ABF" w:rsidR="00085980" w:rsidRPr="00D10282" w:rsidRDefault="00566509" w:rsidP="00B653E7">
            <w:pPr>
              <w:rPr>
                <w:rFonts w:cstheme="minorHAnsi"/>
                <w:b/>
                <w:color w:val="000000" w:themeColor="text1"/>
              </w:rPr>
            </w:pPr>
            <w:r>
              <w:rPr>
                <w:rFonts w:cstheme="minorHAnsi"/>
                <w:b/>
                <w:color w:val="000000" w:themeColor="text1"/>
              </w:rPr>
              <w:t>Yes</w:t>
            </w:r>
          </w:p>
        </w:tc>
      </w:tr>
      <w:tr w:rsidR="00085980" w:rsidRPr="00D10282" w14:paraId="618F9A90" w14:textId="77777777" w:rsidTr="0012321A">
        <w:tc>
          <w:tcPr>
            <w:tcW w:w="4621" w:type="dxa"/>
            <w:shd w:val="clear" w:color="auto" w:fill="C6D9F1" w:themeFill="text2" w:themeFillTint="33"/>
          </w:tcPr>
          <w:p w14:paraId="618F9A8D" w14:textId="77777777" w:rsidR="00085980" w:rsidRPr="00496450" w:rsidRDefault="00085980" w:rsidP="00B653E7">
            <w:pPr>
              <w:rPr>
                <w:rFonts w:cstheme="minorHAnsi"/>
                <w:b/>
                <w:color w:val="000000" w:themeColor="text1"/>
              </w:rPr>
            </w:pPr>
            <w:r w:rsidRPr="00496450">
              <w:rPr>
                <w:rFonts w:cstheme="minorHAnsi"/>
                <w:b/>
                <w:color w:val="000000" w:themeColor="text1"/>
              </w:rPr>
              <w:t xml:space="preserve">Date completed: </w:t>
            </w:r>
          </w:p>
          <w:p w14:paraId="618F9A8E" w14:textId="77777777" w:rsidR="00085980" w:rsidRPr="00D10282" w:rsidRDefault="00085980" w:rsidP="00B653E7">
            <w:pPr>
              <w:rPr>
                <w:rFonts w:cstheme="minorHAnsi"/>
                <w:b/>
                <w:color w:val="000000" w:themeColor="text1"/>
              </w:rPr>
            </w:pPr>
          </w:p>
        </w:tc>
        <w:tc>
          <w:tcPr>
            <w:tcW w:w="4621" w:type="dxa"/>
          </w:tcPr>
          <w:p w14:paraId="618F9A8F" w14:textId="04893B3E" w:rsidR="00085980" w:rsidRPr="00D10282" w:rsidRDefault="00E07164" w:rsidP="00B653E7">
            <w:pPr>
              <w:rPr>
                <w:rFonts w:cstheme="minorHAnsi"/>
                <w:b/>
                <w:color w:val="000000" w:themeColor="text1"/>
              </w:rPr>
            </w:pPr>
            <w:r w:rsidRPr="00E07164">
              <w:rPr>
                <w:rFonts w:cstheme="minorHAnsi"/>
                <w:b/>
              </w:rPr>
              <w:t xml:space="preserve">21/12/2021 </w:t>
            </w:r>
          </w:p>
        </w:tc>
      </w:tr>
      <w:tr w:rsidR="00085980" w:rsidRPr="00D10282" w14:paraId="618F9A94" w14:textId="77777777" w:rsidTr="0012321A">
        <w:tc>
          <w:tcPr>
            <w:tcW w:w="4621" w:type="dxa"/>
            <w:shd w:val="clear" w:color="auto" w:fill="C6D9F1" w:themeFill="text2" w:themeFillTint="33"/>
          </w:tcPr>
          <w:p w14:paraId="618F9A91" w14:textId="77777777" w:rsidR="00085980" w:rsidRPr="00496450" w:rsidRDefault="00085980" w:rsidP="00B653E7">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618F9A92" w14:textId="77777777" w:rsidR="00085980" w:rsidRPr="00D10282" w:rsidRDefault="00085980" w:rsidP="00B653E7">
            <w:pPr>
              <w:rPr>
                <w:rFonts w:cstheme="minorHAnsi"/>
                <w:b/>
                <w:color w:val="000000" w:themeColor="text1"/>
              </w:rPr>
            </w:pPr>
          </w:p>
        </w:tc>
        <w:tc>
          <w:tcPr>
            <w:tcW w:w="4621" w:type="dxa"/>
          </w:tcPr>
          <w:p w14:paraId="618F9A93" w14:textId="61A42F16" w:rsidR="00085980" w:rsidRPr="00D10282" w:rsidRDefault="009C695D" w:rsidP="00B653E7">
            <w:pPr>
              <w:rPr>
                <w:rFonts w:cstheme="minorHAnsi"/>
                <w:b/>
                <w:color w:val="000000" w:themeColor="text1"/>
              </w:rPr>
            </w:pPr>
            <w:r>
              <w:rPr>
                <w:rFonts w:cstheme="minorHAnsi"/>
                <w:b/>
                <w:color w:val="000000" w:themeColor="text1"/>
              </w:rPr>
              <w:t>December 2023</w:t>
            </w:r>
          </w:p>
        </w:tc>
      </w:tr>
    </w:tbl>
    <w:p w14:paraId="7BD005CA" w14:textId="321E7E89" w:rsidR="0031442F" w:rsidRDefault="0031442F" w:rsidP="00140012">
      <w:pPr>
        <w:spacing w:after="0"/>
        <w:rPr>
          <w:rFonts w:cstheme="minorHAnsi"/>
          <w:b/>
          <w:color w:val="000000" w:themeColor="text1"/>
          <w:sz w:val="24"/>
        </w:rPr>
      </w:pPr>
      <w:bookmarkStart w:id="1" w:name="_Toc486610135"/>
    </w:p>
    <w:p w14:paraId="56E91DB8" w14:textId="77777777" w:rsidR="00566509" w:rsidRDefault="00566509" w:rsidP="00140012">
      <w:pPr>
        <w:spacing w:after="0"/>
        <w:rPr>
          <w:rFonts w:cstheme="minorHAnsi"/>
          <w:b/>
          <w:color w:val="000000" w:themeColor="text1"/>
          <w:sz w:val="24"/>
        </w:rPr>
      </w:pPr>
    </w:p>
    <w:p w14:paraId="0170B022" w14:textId="277293D2" w:rsidR="00140012" w:rsidRPr="00140012" w:rsidRDefault="00140012" w:rsidP="00140012">
      <w:pPr>
        <w:spacing w:after="0"/>
        <w:rPr>
          <w:rFonts w:cstheme="minorHAnsi"/>
          <w:b/>
          <w:color w:val="000000" w:themeColor="text1"/>
        </w:rPr>
      </w:pPr>
      <w:r w:rsidRPr="00140012">
        <w:rPr>
          <w:rFonts w:cstheme="minorHAnsi"/>
          <w:b/>
          <w:color w:val="000000" w:themeColor="text1"/>
        </w:rPr>
        <w:t>Change log</w:t>
      </w:r>
      <w:bookmarkEnd w:id="1"/>
      <w:r w:rsidR="00426F3A">
        <w:rPr>
          <w:rFonts w:cstheme="minorHAnsi"/>
          <w:b/>
          <w:color w:val="000000" w:themeColor="text1"/>
        </w:rPr>
        <w:t>/version control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688"/>
        <w:gridCol w:w="1278"/>
        <w:gridCol w:w="1051"/>
        <w:gridCol w:w="3999"/>
      </w:tblGrid>
      <w:tr w:rsidR="00140012" w:rsidRPr="00140012" w14:paraId="1D12C2A6" w14:textId="77777777" w:rsidTr="00326699">
        <w:trPr>
          <w:cantSplit/>
          <w:tblHeader/>
          <w:jc w:val="center"/>
        </w:trPr>
        <w:tc>
          <w:tcPr>
            <w:tcW w:w="1491" w:type="pct"/>
            <w:shd w:val="clear" w:color="auto" w:fill="C6D9F1" w:themeFill="text2" w:themeFillTint="33"/>
          </w:tcPr>
          <w:p w14:paraId="5B21C57E"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Name</w:t>
            </w:r>
          </w:p>
        </w:tc>
        <w:tc>
          <w:tcPr>
            <w:tcW w:w="708" w:type="pct"/>
            <w:shd w:val="clear" w:color="auto" w:fill="C6D9F1" w:themeFill="text2" w:themeFillTint="33"/>
          </w:tcPr>
          <w:p w14:paraId="39A25502"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Date</w:t>
            </w:r>
          </w:p>
        </w:tc>
        <w:tc>
          <w:tcPr>
            <w:tcW w:w="583" w:type="pct"/>
            <w:shd w:val="clear" w:color="auto" w:fill="C6D9F1" w:themeFill="text2" w:themeFillTint="33"/>
          </w:tcPr>
          <w:p w14:paraId="23A3F1B0"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Version</w:t>
            </w:r>
          </w:p>
        </w:tc>
        <w:tc>
          <w:tcPr>
            <w:tcW w:w="2218" w:type="pct"/>
            <w:shd w:val="clear" w:color="auto" w:fill="C6D9F1" w:themeFill="text2" w:themeFillTint="33"/>
          </w:tcPr>
          <w:p w14:paraId="637BBD1C"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Change</w:t>
            </w:r>
          </w:p>
        </w:tc>
      </w:tr>
      <w:tr w:rsidR="00140012" w:rsidRPr="00140012" w14:paraId="36A29784" w14:textId="77777777" w:rsidTr="00326699">
        <w:trPr>
          <w:cantSplit/>
          <w:jc w:val="center"/>
        </w:trPr>
        <w:tc>
          <w:tcPr>
            <w:tcW w:w="1491" w:type="pct"/>
          </w:tcPr>
          <w:p w14:paraId="73C22E39" w14:textId="017B82C4" w:rsidR="00140012" w:rsidRPr="00140012" w:rsidRDefault="00326699" w:rsidP="00140012">
            <w:pPr>
              <w:spacing w:after="0" w:line="240" w:lineRule="auto"/>
              <w:rPr>
                <w:rFonts w:cstheme="minorHAnsi"/>
                <w:color w:val="000000" w:themeColor="text1"/>
              </w:rPr>
            </w:pPr>
            <w:r>
              <w:rPr>
                <w:rFonts w:cstheme="minorHAnsi"/>
                <w:color w:val="000000" w:themeColor="text1"/>
              </w:rPr>
              <w:t>Agnieszka Siewicz on behalf of AHRC Skills Team</w:t>
            </w:r>
          </w:p>
        </w:tc>
        <w:tc>
          <w:tcPr>
            <w:tcW w:w="708" w:type="pct"/>
          </w:tcPr>
          <w:p w14:paraId="7B742B54" w14:textId="49463C7B" w:rsidR="00140012" w:rsidRPr="00140012" w:rsidRDefault="00326699" w:rsidP="00140012">
            <w:pPr>
              <w:spacing w:after="0" w:line="240" w:lineRule="auto"/>
              <w:rPr>
                <w:rFonts w:cstheme="minorHAnsi"/>
                <w:color w:val="000000" w:themeColor="text1"/>
              </w:rPr>
            </w:pPr>
            <w:r>
              <w:rPr>
                <w:rFonts w:cstheme="minorHAnsi"/>
                <w:color w:val="000000" w:themeColor="text1"/>
              </w:rPr>
              <w:t>11/</w:t>
            </w:r>
            <w:r w:rsidR="009C695D">
              <w:rPr>
                <w:rFonts w:cstheme="minorHAnsi"/>
                <w:color w:val="000000" w:themeColor="text1"/>
              </w:rPr>
              <w:t>0</w:t>
            </w:r>
            <w:r>
              <w:rPr>
                <w:rFonts w:cstheme="minorHAnsi"/>
                <w:color w:val="000000" w:themeColor="text1"/>
              </w:rPr>
              <w:t>1/2022</w:t>
            </w:r>
          </w:p>
        </w:tc>
        <w:tc>
          <w:tcPr>
            <w:tcW w:w="583" w:type="pct"/>
          </w:tcPr>
          <w:p w14:paraId="32AF21A3" w14:textId="77777777" w:rsidR="00140012" w:rsidRPr="00140012" w:rsidRDefault="00140012" w:rsidP="00140012">
            <w:pPr>
              <w:spacing w:after="0" w:line="240" w:lineRule="auto"/>
              <w:rPr>
                <w:rFonts w:cstheme="minorHAnsi"/>
                <w:color w:val="000000" w:themeColor="text1"/>
              </w:rPr>
            </w:pPr>
            <w:r w:rsidRPr="00140012">
              <w:rPr>
                <w:rFonts w:cstheme="minorHAnsi"/>
                <w:color w:val="000000" w:themeColor="text1"/>
              </w:rPr>
              <w:t>1</w:t>
            </w:r>
          </w:p>
        </w:tc>
        <w:tc>
          <w:tcPr>
            <w:tcW w:w="2218" w:type="pct"/>
          </w:tcPr>
          <w:p w14:paraId="03AA4841" w14:textId="34F42543" w:rsidR="00140012" w:rsidRPr="00140012" w:rsidRDefault="00326699" w:rsidP="00140012">
            <w:pPr>
              <w:spacing w:after="0" w:line="240" w:lineRule="auto"/>
              <w:rPr>
                <w:rFonts w:cstheme="minorHAnsi"/>
                <w:color w:val="000000" w:themeColor="text1"/>
              </w:rPr>
            </w:pPr>
            <w:r>
              <w:rPr>
                <w:rFonts w:cstheme="minorHAnsi"/>
                <w:color w:val="000000" w:themeColor="text1"/>
              </w:rPr>
              <w:t>First publication</w:t>
            </w:r>
          </w:p>
        </w:tc>
      </w:tr>
    </w:tbl>
    <w:p w14:paraId="618F9A96" w14:textId="60C6E7B5" w:rsidR="00CC6020" w:rsidRDefault="00CC6020">
      <w:pPr>
        <w:rPr>
          <w:rFonts w:cstheme="minorHAnsi"/>
          <w:b/>
          <w:color w:val="000000" w:themeColor="text1"/>
          <w:sz w:val="24"/>
        </w:rPr>
      </w:pPr>
    </w:p>
    <w:sectPr w:rsidR="00CC6020" w:rsidSect="00FA1C7B">
      <w:headerReference w:type="even" r:id="rId16"/>
      <w:headerReference w:type="default" r:id="rId17"/>
      <w:footerReference w:type="even" r:id="rId18"/>
      <w:footerReference w:type="default" r:id="rId19"/>
      <w:headerReference w:type="first" r:id="rId20"/>
      <w:footerReference w:type="first" r:id="rId21"/>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A2C74" w14:textId="77777777" w:rsidR="00F84767" w:rsidRDefault="00F84767" w:rsidP="000D1683">
      <w:pPr>
        <w:spacing w:after="0" w:line="240" w:lineRule="auto"/>
      </w:pPr>
      <w:r>
        <w:separator/>
      </w:r>
    </w:p>
  </w:endnote>
  <w:endnote w:type="continuationSeparator" w:id="0">
    <w:p w14:paraId="478AE45A" w14:textId="77777777" w:rsidR="00F84767" w:rsidRDefault="00F84767"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C61D2" w14:textId="77777777" w:rsidR="002A6BB7" w:rsidRDefault="002A6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B6B36" w14:textId="77777777" w:rsidR="002A6BB7" w:rsidRDefault="002A6B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12B49" w14:textId="77777777" w:rsidR="002A6BB7" w:rsidRDefault="002A6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C8900" w14:textId="77777777" w:rsidR="00F84767" w:rsidRDefault="00F84767" w:rsidP="000D1683">
      <w:pPr>
        <w:spacing w:after="0" w:line="240" w:lineRule="auto"/>
      </w:pPr>
      <w:r>
        <w:separator/>
      </w:r>
    </w:p>
  </w:footnote>
  <w:footnote w:type="continuationSeparator" w:id="0">
    <w:p w14:paraId="21B39813" w14:textId="77777777" w:rsidR="00F84767" w:rsidRDefault="00F84767" w:rsidP="000D1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B380F" w14:textId="77777777" w:rsidR="002A6BB7" w:rsidRDefault="002A6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188A5" w14:textId="029F179D" w:rsidR="002A6BB7" w:rsidRDefault="002A6B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72F8C" w14:textId="77777777" w:rsidR="002A6BB7" w:rsidRDefault="002A6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77B7B"/>
    <w:multiLevelType w:val="hybridMultilevel"/>
    <w:tmpl w:val="C852A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A1E78"/>
    <w:multiLevelType w:val="hybridMultilevel"/>
    <w:tmpl w:val="38BCD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E7847"/>
    <w:multiLevelType w:val="hybridMultilevel"/>
    <w:tmpl w:val="1996D394"/>
    <w:lvl w:ilvl="0" w:tplc="BD5E64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076E6"/>
    <w:multiLevelType w:val="hybridMultilevel"/>
    <w:tmpl w:val="4218E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11"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8F65FD"/>
    <w:multiLevelType w:val="hybridMultilevel"/>
    <w:tmpl w:val="B080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8917E7C"/>
    <w:multiLevelType w:val="hybridMultilevel"/>
    <w:tmpl w:val="FA16A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7D285F"/>
    <w:multiLevelType w:val="multilevel"/>
    <w:tmpl w:val="F31AB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171A5F"/>
    <w:multiLevelType w:val="hybridMultilevel"/>
    <w:tmpl w:val="553AE1E4"/>
    <w:lvl w:ilvl="0" w:tplc="BD5E64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0B7569"/>
    <w:multiLevelType w:val="hybridMultilevel"/>
    <w:tmpl w:val="28A46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2B1986"/>
    <w:multiLevelType w:val="hybridMultilevel"/>
    <w:tmpl w:val="05CCD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FF3A68"/>
    <w:multiLevelType w:val="hybridMultilevel"/>
    <w:tmpl w:val="C3484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7F3900"/>
    <w:multiLevelType w:val="hybridMultilevel"/>
    <w:tmpl w:val="DCC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3D56DB"/>
    <w:multiLevelType w:val="hybridMultilevel"/>
    <w:tmpl w:val="D12E5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706FC4"/>
    <w:multiLevelType w:val="multilevel"/>
    <w:tmpl w:val="F9B64CD0"/>
    <w:lvl w:ilvl="0">
      <w:start w:val="1"/>
      <w:numFmt w:val="bullet"/>
      <w:lvlText w:val="●"/>
      <w:lvlJc w:val="left"/>
      <w:pPr>
        <w:ind w:left="720" w:hanging="360"/>
      </w:pPr>
      <w:rPr>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1"/>
  </w:num>
  <w:num w:numId="3">
    <w:abstractNumId w:val="34"/>
  </w:num>
  <w:num w:numId="4">
    <w:abstractNumId w:val="24"/>
  </w:num>
  <w:num w:numId="5">
    <w:abstractNumId w:val="23"/>
  </w:num>
  <w:num w:numId="6">
    <w:abstractNumId w:val="0"/>
  </w:num>
  <w:num w:numId="7">
    <w:abstractNumId w:val="19"/>
  </w:num>
  <w:num w:numId="8">
    <w:abstractNumId w:val="22"/>
  </w:num>
  <w:num w:numId="9">
    <w:abstractNumId w:val="31"/>
  </w:num>
  <w:num w:numId="10">
    <w:abstractNumId w:val="30"/>
  </w:num>
  <w:num w:numId="11">
    <w:abstractNumId w:val="10"/>
  </w:num>
  <w:num w:numId="12">
    <w:abstractNumId w:val="1"/>
  </w:num>
  <w:num w:numId="13">
    <w:abstractNumId w:val="2"/>
  </w:num>
  <w:num w:numId="14">
    <w:abstractNumId w:val="15"/>
  </w:num>
  <w:num w:numId="15">
    <w:abstractNumId w:val="16"/>
  </w:num>
  <w:num w:numId="16">
    <w:abstractNumId w:val="13"/>
  </w:num>
  <w:num w:numId="17">
    <w:abstractNumId w:val="6"/>
  </w:num>
  <w:num w:numId="18">
    <w:abstractNumId w:val="11"/>
  </w:num>
  <w:num w:numId="19">
    <w:abstractNumId w:val="5"/>
  </w:num>
  <w:num w:numId="20">
    <w:abstractNumId w:val="32"/>
  </w:num>
  <w:num w:numId="21">
    <w:abstractNumId w:val="7"/>
  </w:num>
  <w:num w:numId="22">
    <w:abstractNumId w:val="3"/>
  </w:num>
  <w:num w:numId="23">
    <w:abstractNumId w:val="20"/>
  </w:num>
  <w:num w:numId="24">
    <w:abstractNumId w:val="8"/>
  </w:num>
  <w:num w:numId="25">
    <w:abstractNumId w:val="26"/>
  </w:num>
  <w:num w:numId="26">
    <w:abstractNumId w:val="12"/>
  </w:num>
  <w:num w:numId="27">
    <w:abstractNumId w:val="9"/>
  </w:num>
  <w:num w:numId="28">
    <w:abstractNumId w:val="4"/>
  </w:num>
  <w:num w:numId="29">
    <w:abstractNumId w:val="25"/>
  </w:num>
  <w:num w:numId="30">
    <w:abstractNumId w:val="27"/>
  </w:num>
  <w:num w:numId="31">
    <w:abstractNumId w:val="17"/>
  </w:num>
  <w:num w:numId="32">
    <w:abstractNumId w:val="33"/>
  </w:num>
  <w:num w:numId="33">
    <w:abstractNumId w:val="28"/>
  </w:num>
  <w:num w:numId="34">
    <w:abstractNumId w:val="29"/>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66"/>
    <w:rsid w:val="00003547"/>
    <w:rsid w:val="000036B0"/>
    <w:rsid w:val="00006890"/>
    <w:rsid w:val="0000786E"/>
    <w:rsid w:val="00011B10"/>
    <w:rsid w:val="000165A9"/>
    <w:rsid w:val="00021788"/>
    <w:rsid w:val="00022893"/>
    <w:rsid w:val="0002291C"/>
    <w:rsid w:val="00026FD7"/>
    <w:rsid w:val="0003019D"/>
    <w:rsid w:val="00031FA6"/>
    <w:rsid w:val="000333FE"/>
    <w:rsid w:val="00036005"/>
    <w:rsid w:val="00042121"/>
    <w:rsid w:val="00042E32"/>
    <w:rsid w:val="00044529"/>
    <w:rsid w:val="00044EE5"/>
    <w:rsid w:val="00045737"/>
    <w:rsid w:val="00046113"/>
    <w:rsid w:val="00046702"/>
    <w:rsid w:val="00051EA8"/>
    <w:rsid w:val="00052169"/>
    <w:rsid w:val="00064871"/>
    <w:rsid w:val="00072101"/>
    <w:rsid w:val="00073B02"/>
    <w:rsid w:val="00075FEE"/>
    <w:rsid w:val="00085980"/>
    <w:rsid w:val="00085B95"/>
    <w:rsid w:val="00085F91"/>
    <w:rsid w:val="00086838"/>
    <w:rsid w:val="00093409"/>
    <w:rsid w:val="000941A1"/>
    <w:rsid w:val="0009596A"/>
    <w:rsid w:val="000A148A"/>
    <w:rsid w:val="000A7B9E"/>
    <w:rsid w:val="000B7183"/>
    <w:rsid w:val="000C3AB1"/>
    <w:rsid w:val="000D013E"/>
    <w:rsid w:val="000D0F95"/>
    <w:rsid w:val="000D1683"/>
    <w:rsid w:val="000D1AEA"/>
    <w:rsid w:val="000D21D6"/>
    <w:rsid w:val="000D4627"/>
    <w:rsid w:val="000E1463"/>
    <w:rsid w:val="000E4BEF"/>
    <w:rsid w:val="000F1B2E"/>
    <w:rsid w:val="000F44F6"/>
    <w:rsid w:val="000F51CC"/>
    <w:rsid w:val="000F5752"/>
    <w:rsid w:val="001067FB"/>
    <w:rsid w:val="0011187F"/>
    <w:rsid w:val="00114DC2"/>
    <w:rsid w:val="00116857"/>
    <w:rsid w:val="00121D72"/>
    <w:rsid w:val="0012321A"/>
    <w:rsid w:val="00126032"/>
    <w:rsid w:val="0013051E"/>
    <w:rsid w:val="00136E27"/>
    <w:rsid w:val="00140012"/>
    <w:rsid w:val="001417C5"/>
    <w:rsid w:val="00141DE9"/>
    <w:rsid w:val="00142F77"/>
    <w:rsid w:val="00143EC3"/>
    <w:rsid w:val="00147180"/>
    <w:rsid w:val="00151540"/>
    <w:rsid w:val="00151A36"/>
    <w:rsid w:val="00152A89"/>
    <w:rsid w:val="0015563C"/>
    <w:rsid w:val="00160919"/>
    <w:rsid w:val="0017557D"/>
    <w:rsid w:val="00177780"/>
    <w:rsid w:val="00181C1B"/>
    <w:rsid w:val="00182D64"/>
    <w:rsid w:val="00185D70"/>
    <w:rsid w:val="00185E31"/>
    <w:rsid w:val="001860F0"/>
    <w:rsid w:val="00191AD0"/>
    <w:rsid w:val="001A14C9"/>
    <w:rsid w:val="001A4E81"/>
    <w:rsid w:val="001A6058"/>
    <w:rsid w:val="001A6706"/>
    <w:rsid w:val="001A74B2"/>
    <w:rsid w:val="001B1E23"/>
    <w:rsid w:val="001B2F53"/>
    <w:rsid w:val="001B64DD"/>
    <w:rsid w:val="001B6752"/>
    <w:rsid w:val="001C1946"/>
    <w:rsid w:val="001C6700"/>
    <w:rsid w:val="001C6A66"/>
    <w:rsid w:val="001C704E"/>
    <w:rsid w:val="001D0B61"/>
    <w:rsid w:val="001D10FA"/>
    <w:rsid w:val="001D6ACC"/>
    <w:rsid w:val="001E042B"/>
    <w:rsid w:val="001E3424"/>
    <w:rsid w:val="001E6F33"/>
    <w:rsid w:val="001F1D43"/>
    <w:rsid w:val="00202068"/>
    <w:rsid w:val="00202A5D"/>
    <w:rsid w:val="00204AFA"/>
    <w:rsid w:val="00210C64"/>
    <w:rsid w:val="00211CCE"/>
    <w:rsid w:val="00213148"/>
    <w:rsid w:val="00220C60"/>
    <w:rsid w:val="00221561"/>
    <w:rsid w:val="00222641"/>
    <w:rsid w:val="00225889"/>
    <w:rsid w:val="002320E8"/>
    <w:rsid w:val="00232A83"/>
    <w:rsid w:val="0023490C"/>
    <w:rsid w:val="00234C6D"/>
    <w:rsid w:val="00242CAF"/>
    <w:rsid w:val="00253A57"/>
    <w:rsid w:val="00256DC2"/>
    <w:rsid w:val="00257FA8"/>
    <w:rsid w:val="002621F4"/>
    <w:rsid w:val="00263F5E"/>
    <w:rsid w:val="00264596"/>
    <w:rsid w:val="00265DE0"/>
    <w:rsid w:val="00265E53"/>
    <w:rsid w:val="00272233"/>
    <w:rsid w:val="00272B7A"/>
    <w:rsid w:val="002745E2"/>
    <w:rsid w:val="002777DD"/>
    <w:rsid w:val="00280C67"/>
    <w:rsid w:val="00280D76"/>
    <w:rsid w:val="00281B4F"/>
    <w:rsid w:val="00282905"/>
    <w:rsid w:val="002879E2"/>
    <w:rsid w:val="002A6BB7"/>
    <w:rsid w:val="002C4A28"/>
    <w:rsid w:val="002C6A08"/>
    <w:rsid w:val="002E13D6"/>
    <w:rsid w:val="002E31C9"/>
    <w:rsid w:val="002E3C7C"/>
    <w:rsid w:val="002E46B6"/>
    <w:rsid w:val="002E7989"/>
    <w:rsid w:val="002F399C"/>
    <w:rsid w:val="002F4030"/>
    <w:rsid w:val="0030084C"/>
    <w:rsid w:val="00303F0D"/>
    <w:rsid w:val="00304981"/>
    <w:rsid w:val="00307F2A"/>
    <w:rsid w:val="00312193"/>
    <w:rsid w:val="00313C46"/>
    <w:rsid w:val="0031442F"/>
    <w:rsid w:val="003149B2"/>
    <w:rsid w:val="00314FEB"/>
    <w:rsid w:val="003265A0"/>
    <w:rsid w:val="00326699"/>
    <w:rsid w:val="003340CC"/>
    <w:rsid w:val="00334C6A"/>
    <w:rsid w:val="00335B69"/>
    <w:rsid w:val="003364A2"/>
    <w:rsid w:val="0033768C"/>
    <w:rsid w:val="0035232C"/>
    <w:rsid w:val="00353643"/>
    <w:rsid w:val="0035674A"/>
    <w:rsid w:val="00357554"/>
    <w:rsid w:val="00360919"/>
    <w:rsid w:val="00363137"/>
    <w:rsid w:val="00365582"/>
    <w:rsid w:val="00376943"/>
    <w:rsid w:val="00381D78"/>
    <w:rsid w:val="00385C80"/>
    <w:rsid w:val="003978A2"/>
    <w:rsid w:val="003A1BA8"/>
    <w:rsid w:val="003A3C1F"/>
    <w:rsid w:val="003B0C00"/>
    <w:rsid w:val="003B2164"/>
    <w:rsid w:val="003B25F1"/>
    <w:rsid w:val="003B33D5"/>
    <w:rsid w:val="003B6B2E"/>
    <w:rsid w:val="003B7E30"/>
    <w:rsid w:val="003C1526"/>
    <w:rsid w:val="003D611C"/>
    <w:rsid w:val="0040127F"/>
    <w:rsid w:val="00401808"/>
    <w:rsid w:val="00402F8C"/>
    <w:rsid w:val="004055CE"/>
    <w:rsid w:val="00406F69"/>
    <w:rsid w:val="00407749"/>
    <w:rsid w:val="00407CAC"/>
    <w:rsid w:val="00410F84"/>
    <w:rsid w:val="004138F9"/>
    <w:rsid w:val="00421A48"/>
    <w:rsid w:val="0042598C"/>
    <w:rsid w:val="00426F3A"/>
    <w:rsid w:val="0042762E"/>
    <w:rsid w:val="0042763C"/>
    <w:rsid w:val="004321D1"/>
    <w:rsid w:val="004326A0"/>
    <w:rsid w:val="00446DA1"/>
    <w:rsid w:val="00450FC8"/>
    <w:rsid w:val="00454419"/>
    <w:rsid w:val="0045733D"/>
    <w:rsid w:val="00457403"/>
    <w:rsid w:val="00466DFA"/>
    <w:rsid w:val="004677F6"/>
    <w:rsid w:val="0047283D"/>
    <w:rsid w:val="00472BFA"/>
    <w:rsid w:val="00483572"/>
    <w:rsid w:val="00484621"/>
    <w:rsid w:val="00490F3C"/>
    <w:rsid w:val="00496450"/>
    <w:rsid w:val="004A20D8"/>
    <w:rsid w:val="004A56A8"/>
    <w:rsid w:val="004A5BBE"/>
    <w:rsid w:val="004A66DA"/>
    <w:rsid w:val="004A688F"/>
    <w:rsid w:val="004A7E02"/>
    <w:rsid w:val="004B36AD"/>
    <w:rsid w:val="004B397B"/>
    <w:rsid w:val="004B43B9"/>
    <w:rsid w:val="004B64D5"/>
    <w:rsid w:val="004C47DD"/>
    <w:rsid w:val="004C6A9B"/>
    <w:rsid w:val="004C75D1"/>
    <w:rsid w:val="004D08E1"/>
    <w:rsid w:val="004D2495"/>
    <w:rsid w:val="004D314E"/>
    <w:rsid w:val="004E1762"/>
    <w:rsid w:val="004E28AA"/>
    <w:rsid w:val="004F4C6F"/>
    <w:rsid w:val="004F619C"/>
    <w:rsid w:val="00501C65"/>
    <w:rsid w:val="005069D0"/>
    <w:rsid w:val="00507694"/>
    <w:rsid w:val="00507868"/>
    <w:rsid w:val="005114DA"/>
    <w:rsid w:val="0051243C"/>
    <w:rsid w:val="00512F12"/>
    <w:rsid w:val="00521047"/>
    <w:rsid w:val="00523FFF"/>
    <w:rsid w:val="005265BA"/>
    <w:rsid w:val="0052742D"/>
    <w:rsid w:val="00530D54"/>
    <w:rsid w:val="00533D67"/>
    <w:rsid w:val="005428BF"/>
    <w:rsid w:val="00543282"/>
    <w:rsid w:val="0054537B"/>
    <w:rsid w:val="00545AFD"/>
    <w:rsid w:val="00546D9C"/>
    <w:rsid w:val="0055034E"/>
    <w:rsid w:val="00551A11"/>
    <w:rsid w:val="00566509"/>
    <w:rsid w:val="0057324E"/>
    <w:rsid w:val="005760E0"/>
    <w:rsid w:val="00581576"/>
    <w:rsid w:val="005823CC"/>
    <w:rsid w:val="00582D7D"/>
    <w:rsid w:val="00583F06"/>
    <w:rsid w:val="005846B5"/>
    <w:rsid w:val="00585DA9"/>
    <w:rsid w:val="005908BC"/>
    <w:rsid w:val="0059198A"/>
    <w:rsid w:val="00594183"/>
    <w:rsid w:val="005A118C"/>
    <w:rsid w:val="005A24D8"/>
    <w:rsid w:val="005A3E04"/>
    <w:rsid w:val="005A6711"/>
    <w:rsid w:val="005B658E"/>
    <w:rsid w:val="005B7D51"/>
    <w:rsid w:val="005C7B48"/>
    <w:rsid w:val="005D0657"/>
    <w:rsid w:val="005D41A4"/>
    <w:rsid w:val="005D795C"/>
    <w:rsid w:val="005D7A66"/>
    <w:rsid w:val="005E3D0C"/>
    <w:rsid w:val="005E54B9"/>
    <w:rsid w:val="00605F3D"/>
    <w:rsid w:val="00607388"/>
    <w:rsid w:val="006100AA"/>
    <w:rsid w:val="00614BBF"/>
    <w:rsid w:val="0061644B"/>
    <w:rsid w:val="00621FE1"/>
    <w:rsid w:val="0063518D"/>
    <w:rsid w:val="0063521A"/>
    <w:rsid w:val="0063545C"/>
    <w:rsid w:val="006404FA"/>
    <w:rsid w:val="00640D79"/>
    <w:rsid w:val="00641A5C"/>
    <w:rsid w:val="00651919"/>
    <w:rsid w:val="0065601D"/>
    <w:rsid w:val="00661CA1"/>
    <w:rsid w:val="00664E75"/>
    <w:rsid w:val="00667739"/>
    <w:rsid w:val="0067061D"/>
    <w:rsid w:val="006723BE"/>
    <w:rsid w:val="00673176"/>
    <w:rsid w:val="00673649"/>
    <w:rsid w:val="006766F2"/>
    <w:rsid w:val="006767BD"/>
    <w:rsid w:val="00683A3E"/>
    <w:rsid w:val="00695C97"/>
    <w:rsid w:val="0069646B"/>
    <w:rsid w:val="00697E35"/>
    <w:rsid w:val="00697EC4"/>
    <w:rsid w:val="006A027C"/>
    <w:rsid w:val="006A226A"/>
    <w:rsid w:val="006B450A"/>
    <w:rsid w:val="006C0BC6"/>
    <w:rsid w:val="006C1C8C"/>
    <w:rsid w:val="006C32D1"/>
    <w:rsid w:val="006D2BEC"/>
    <w:rsid w:val="006D3776"/>
    <w:rsid w:val="006E0E97"/>
    <w:rsid w:val="006F6FEF"/>
    <w:rsid w:val="007000C9"/>
    <w:rsid w:val="007101F4"/>
    <w:rsid w:val="007106CD"/>
    <w:rsid w:val="00714BF1"/>
    <w:rsid w:val="00720745"/>
    <w:rsid w:val="00726F9B"/>
    <w:rsid w:val="0072755B"/>
    <w:rsid w:val="00731D7F"/>
    <w:rsid w:val="00734943"/>
    <w:rsid w:val="0074089E"/>
    <w:rsid w:val="0074352D"/>
    <w:rsid w:val="00744DB6"/>
    <w:rsid w:val="00756094"/>
    <w:rsid w:val="00761B81"/>
    <w:rsid w:val="007737D8"/>
    <w:rsid w:val="007744DE"/>
    <w:rsid w:val="0078308D"/>
    <w:rsid w:val="00784C99"/>
    <w:rsid w:val="00784ECA"/>
    <w:rsid w:val="00785CF4"/>
    <w:rsid w:val="0078792C"/>
    <w:rsid w:val="007965CA"/>
    <w:rsid w:val="007A26D5"/>
    <w:rsid w:val="007B00D6"/>
    <w:rsid w:val="007B395A"/>
    <w:rsid w:val="007B426C"/>
    <w:rsid w:val="007B6FF1"/>
    <w:rsid w:val="007C55DF"/>
    <w:rsid w:val="007C6AC3"/>
    <w:rsid w:val="007D1195"/>
    <w:rsid w:val="007E56E5"/>
    <w:rsid w:val="007F1BFF"/>
    <w:rsid w:val="007F483A"/>
    <w:rsid w:val="007F4A3B"/>
    <w:rsid w:val="00807410"/>
    <w:rsid w:val="00811008"/>
    <w:rsid w:val="008127FA"/>
    <w:rsid w:val="0082058D"/>
    <w:rsid w:val="00825627"/>
    <w:rsid w:val="00830D58"/>
    <w:rsid w:val="0083760E"/>
    <w:rsid w:val="00840FBF"/>
    <w:rsid w:val="00842311"/>
    <w:rsid w:val="00842474"/>
    <w:rsid w:val="008459E9"/>
    <w:rsid w:val="00855EE9"/>
    <w:rsid w:val="0086287D"/>
    <w:rsid w:val="008715F7"/>
    <w:rsid w:val="00875260"/>
    <w:rsid w:val="0087595F"/>
    <w:rsid w:val="00877309"/>
    <w:rsid w:val="00880847"/>
    <w:rsid w:val="00882986"/>
    <w:rsid w:val="008917B8"/>
    <w:rsid w:val="00897D5B"/>
    <w:rsid w:val="008A663C"/>
    <w:rsid w:val="008B4CD9"/>
    <w:rsid w:val="008B792C"/>
    <w:rsid w:val="008B7A3E"/>
    <w:rsid w:val="008C2363"/>
    <w:rsid w:val="008C2976"/>
    <w:rsid w:val="008C2DFA"/>
    <w:rsid w:val="008C3945"/>
    <w:rsid w:val="008C4C63"/>
    <w:rsid w:val="008C67E8"/>
    <w:rsid w:val="008D0A02"/>
    <w:rsid w:val="008D395D"/>
    <w:rsid w:val="008E1F6C"/>
    <w:rsid w:val="008E5EA0"/>
    <w:rsid w:val="008E68A2"/>
    <w:rsid w:val="008F54DF"/>
    <w:rsid w:val="00900407"/>
    <w:rsid w:val="00903CA9"/>
    <w:rsid w:val="00907B31"/>
    <w:rsid w:val="00910E5D"/>
    <w:rsid w:val="00911AC7"/>
    <w:rsid w:val="00912485"/>
    <w:rsid w:val="00914ADE"/>
    <w:rsid w:val="009272F6"/>
    <w:rsid w:val="0093119A"/>
    <w:rsid w:val="0094017F"/>
    <w:rsid w:val="00941637"/>
    <w:rsid w:val="0094461F"/>
    <w:rsid w:val="00946CE3"/>
    <w:rsid w:val="00950706"/>
    <w:rsid w:val="00956543"/>
    <w:rsid w:val="00956657"/>
    <w:rsid w:val="009571F1"/>
    <w:rsid w:val="009614A3"/>
    <w:rsid w:val="009652FE"/>
    <w:rsid w:val="009657D2"/>
    <w:rsid w:val="00974522"/>
    <w:rsid w:val="00977C69"/>
    <w:rsid w:val="00977FD8"/>
    <w:rsid w:val="00985005"/>
    <w:rsid w:val="00985758"/>
    <w:rsid w:val="0098621D"/>
    <w:rsid w:val="009878E3"/>
    <w:rsid w:val="00993292"/>
    <w:rsid w:val="0099741B"/>
    <w:rsid w:val="009A2149"/>
    <w:rsid w:val="009B0643"/>
    <w:rsid w:val="009B53F0"/>
    <w:rsid w:val="009B5D82"/>
    <w:rsid w:val="009B7C05"/>
    <w:rsid w:val="009C03DC"/>
    <w:rsid w:val="009C07BE"/>
    <w:rsid w:val="009C2420"/>
    <w:rsid w:val="009C253C"/>
    <w:rsid w:val="009C4DA0"/>
    <w:rsid w:val="009C5E4E"/>
    <w:rsid w:val="009C63CC"/>
    <w:rsid w:val="009C695D"/>
    <w:rsid w:val="009D1C9E"/>
    <w:rsid w:val="009D3051"/>
    <w:rsid w:val="009D51FE"/>
    <w:rsid w:val="009E02E6"/>
    <w:rsid w:val="009E7B47"/>
    <w:rsid w:val="009F0254"/>
    <w:rsid w:val="009F067B"/>
    <w:rsid w:val="009F201B"/>
    <w:rsid w:val="009F2988"/>
    <w:rsid w:val="009F53DB"/>
    <w:rsid w:val="00A0161E"/>
    <w:rsid w:val="00A0447C"/>
    <w:rsid w:val="00A05AEB"/>
    <w:rsid w:val="00A10F12"/>
    <w:rsid w:val="00A13887"/>
    <w:rsid w:val="00A155B9"/>
    <w:rsid w:val="00A2543C"/>
    <w:rsid w:val="00A254F1"/>
    <w:rsid w:val="00A25E7C"/>
    <w:rsid w:val="00A26351"/>
    <w:rsid w:val="00A30028"/>
    <w:rsid w:val="00A32647"/>
    <w:rsid w:val="00A41586"/>
    <w:rsid w:val="00A4217F"/>
    <w:rsid w:val="00A55355"/>
    <w:rsid w:val="00A57794"/>
    <w:rsid w:val="00A7005A"/>
    <w:rsid w:val="00A73B27"/>
    <w:rsid w:val="00A74E74"/>
    <w:rsid w:val="00A75A91"/>
    <w:rsid w:val="00A75DE3"/>
    <w:rsid w:val="00A75F7F"/>
    <w:rsid w:val="00A77E75"/>
    <w:rsid w:val="00A80195"/>
    <w:rsid w:val="00A94EC3"/>
    <w:rsid w:val="00A976C5"/>
    <w:rsid w:val="00AA114C"/>
    <w:rsid w:val="00AA42C0"/>
    <w:rsid w:val="00AA4BB2"/>
    <w:rsid w:val="00AB4AF6"/>
    <w:rsid w:val="00AB5E5B"/>
    <w:rsid w:val="00AB700A"/>
    <w:rsid w:val="00AC13E7"/>
    <w:rsid w:val="00AC27D7"/>
    <w:rsid w:val="00AC3FE1"/>
    <w:rsid w:val="00AC6456"/>
    <w:rsid w:val="00AD3768"/>
    <w:rsid w:val="00AD5011"/>
    <w:rsid w:val="00AD6056"/>
    <w:rsid w:val="00AE0663"/>
    <w:rsid w:val="00AE1507"/>
    <w:rsid w:val="00AE5CC2"/>
    <w:rsid w:val="00AE6B78"/>
    <w:rsid w:val="00AE6C87"/>
    <w:rsid w:val="00AF6D23"/>
    <w:rsid w:val="00B02F2F"/>
    <w:rsid w:val="00B030B3"/>
    <w:rsid w:val="00B0751D"/>
    <w:rsid w:val="00B10DBC"/>
    <w:rsid w:val="00B11299"/>
    <w:rsid w:val="00B14876"/>
    <w:rsid w:val="00B17023"/>
    <w:rsid w:val="00B17DB7"/>
    <w:rsid w:val="00B21200"/>
    <w:rsid w:val="00B247AA"/>
    <w:rsid w:val="00B32C89"/>
    <w:rsid w:val="00B4015A"/>
    <w:rsid w:val="00B41978"/>
    <w:rsid w:val="00B471A2"/>
    <w:rsid w:val="00B55651"/>
    <w:rsid w:val="00B55E94"/>
    <w:rsid w:val="00B56F71"/>
    <w:rsid w:val="00B60247"/>
    <w:rsid w:val="00B630FE"/>
    <w:rsid w:val="00B64D09"/>
    <w:rsid w:val="00B65258"/>
    <w:rsid w:val="00B72530"/>
    <w:rsid w:val="00B768C0"/>
    <w:rsid w:val="00B77602"/>
    <w:rsid w:val="00B77B10"/>
    <w:rsid w:val="00BA6978"/>
    <w:rsid w:val="00BA69E7"/>
    <w:rsid w:val="00BB2946"/>
    <w:rsid w:val="00BB63BE"/>
    <w:rsid w:val="00BB7C17"/>
    <w:rsid w:val="00BC0BD1"/>
    <w:rsid w:val="00BC2455"/>
    <w:rsid w:val="00BD1CD2"/>
    <w:rsid w:val="00BD2B02"/>
    <w:rsid w:val="00BD66EE"/>
    <w:rsid w:val="00BD73DA"/>
    <w:rsid w:val="00BD7E49"/>
    <w:rsid w:val="00BE0AB8"/>
    <w:rsid w:val="00BE6F23"/>
    <w:rsid w:val="00BF0D40"/>
    <w:rsid w:val="00BF238C"/>
    <w:rsid w:val="00C01CF1"/>
    <w:rsid w:val="00C04F1F"/>
    <w:rsid w:val="00C1190F"/>
    <w:rsid w:val="00C16678"/>
    <w:rsid w:val="00C23218"/>
    <w:rsid w:val="00C24FA7"/>
    <w:rsid w:val="00C26A3C"/>
    <w:rsid w:val="00C350CC"/>
    <w:rsid w:val="00C36F0F"/>
    <w:rsid w:val="00C40435"/>
    <w:rsid w:val="00C42853"/>
    <w:rsid w:val="00C44F3C"/>
    <w:rsid w:val="00C47D4B"/>
    <w:rsid w:val="00C513DB"/>
    <w:rsid w:val="00C536DA"/>
    <w:rsid w:val="00C5384A"/>
    <w:rsid w:val="00C66FE5"/>
    <w:rsid w:val="00C7326C"/>
    <w:rsid w:val="00C736C5"/>
    <w:rsid w:val="00C73BA9"/>
    <w:rsid w:val="00C74895"/>
    <w:rsid w:val="00C76D6A"/>
    <w:rsid w:val="00C810E4"/>
    <w:rsid w:val="00C8247F"/>
    <w:rsid w:val="00C838D5"/>
    <w:rsid w:val="00C84161"/>
    <w:rsid w:val="00C85D0E"/>
    <w:rsid w:val="00C94B71"/>
    <w:rsid w:val="00C978D5"/>
    <w:rsid w:val="00CA4CA1"/>
    <w:rsid w:val="00CA51E9"/>
    <w:rsid w:val="00CB2A6A"/>
    <w:rsid w:val="00CB3E32"/>
    <w:rsid w:val="00CB4C60"/>
    <w:rsid w:val="00CC1C2F"/>
    <w:rsid w:val="00CC37AA"/>
    <w:rsid w:val="00CC5A0F"/>
    <w:rsid w:val="00CC6020"/>
    <w:rsid w:val="00CC6CB4"/>
    <w:rsid w:val="00CD01C9"/>
    <w:rsid w:val="00CD13EF"/>
    <w:rsid w:val="00CD19E0"/>
    <w:rsid w:val="00CD2EF2"/>
    <w:rsid w:val="00CE0D81"/>
    <w:rsid w:val="00CE1194"/>
    <w:rsid w:val="00CF3D46"/>
    <w:rsid w:val="00D111AC"/>
    <w:rsid w:val="00D116FA"/>
    <w:rsid w:val="00D125C9"/>
    <w:rsid w:val="00D1555D"/>
    <w:rsid w:val="00D1590C"/>
    <w:rsid w:val="00D16014"/>
    <w:rsid w:val="00D16AAB"/>
    <w:rsid w:val="00D2001D"/>
    <w:rsid w:val="00D23877"/>
    <w:rsid w:val="00D31A0C"/>
    <w:rsid w:val="00D32D1E"/>
    <w:rsid w:val="00D35E9E"/>
    <w:rsid w:val="00D475D8"/>
    <w:rsid w:val="00D5234E"/>
    <w:rsid w:val="00D66CE3"/>
    <w:rsid w:val="00D7009C"/>
    <w:rsid w:val="00D75EAA"/>
    <w:rsid w:val="00D77F7E"/>
    <w:rsid w:val="00D87CBC"/>
    <w:rsid w:val="00D92234"/>
    <w:rsid w:val="00D956CB"/>
    <w:rsid w:val="00D96598"/>
    <w:rsid w:val="00DA62DD"/>
    <w:rsid w:val="00DB011F"/>
    <w:rsid w:val="00DB03E7"/>
    <w:rsid w:val="00DB15C3"/>
    <w:rsid w:val="00DD30EB"/>
    <w:rsid w:val="00DD380A"/>
    <w:rsid w:val="00DE259A"/>
    <w:rsid w:val="00DE347F"/>
    <w:rsid w:val="00DE35DD"/>
    <w:rsid w:val="00DF23C5"/>
    <w:rsid w:val="00DF3407"/>
    <w:rsid w:val="00DF3DB6"/>
    <w:rsid w:val="00DF7650"/>
    <w:rsid w:val="00E00388"/>
    <w:rsid w:val="00E00CDC"/>
    <w:rsid w:val="00E03ED8"/>
    <w:rsid w:val="00E07164"/>
    <w:rsid w:val="00E13801"/>
    <w:rsid w:val="00E1660C"/>
    <w:rsid w:val="00E33140"/>
    <w:rsid w:val="00E4117F"/>
    <w:rsid w:val="00E41479"/>
    <w:rsid w:val="00E437BE"/>
    <w:rsid w:val="00E444DF"/>
    <w:rsid w:val="00E50DF2"/>
    <w:rsid w:val="00E51B6C"/>
    <w:rsid w:val="00E53A75"/>
    <w:rsid w:val="00E56C93"/>
    <w:rsid w:val="00E57B96"/>
    <w:rsid w:val="00E67BAC"/>
    <w:rsid w:val="00E703BC"/>
    <w:rsid w:val="00E71408"/>
    <w:rsid w:val="00E7209C"/>
    <w:rsid w:val="00E7543E"/>
    <w:rsid w:val="00E800A6"/>
    <w:rsid w:val="00E8288F"/>
    <w:rsid w:val="00E87262"/>
    <w:rsid w:val="00E87986"/>
    <w:rsid w:val="00EA009D"/>
    <w:rsid w:val="00EA6852"/>
    <w:rsid w:val="00EA7EA6"/>
    <w:rsid w:val="00EB18B8"/>
    <w:rsid w:val="00EB5ACF"/>
    <w:rsid w:val="00EB5BBA"/>
    <w:rsid w:val="00EB7CF0"/>
    <w:rsid w:val="00EC0C58"/>
    <w:rsid w:val="00EC2824"/>
    <w:rsid w:val="00EC7402"/>
    <w:rsid w:val="00ED0B91"/>
    <w:rsid w:val="00ED1F43"/>
    <w:rsid w:val="00ED530C"/>
    <w:rsid w:val="00ED5A6F"/>
    <w:rsid w:val="00EE480D"/>
    <w:rsid w:val="00EE516A"/>
    <w:rsid w:val="00EE724A"/>
    <w:rsid w:val="00EF510D"/>
    <w:rsid w:val="00EF628A"/>
    <w:rsid w:val="00EF72B3"/>
    <w:rsid w:val="00F12F16"/>
    <w:rsid w:val="00F13029"/>
    <w:rsid w:val="00F130B1"/>
    <w:rsid w:val="00F15B8A"/>
    <w:rsid w:val="00F202E6"/>
    <w:rsid w:val="00F23DB4"/>
    <w:rsid w:val="00F24022"/>
    <w:rsid w:val="00F30880"/>
    <w:rsid w:val="00F3218D"/>
    <w:rsid w:val="00F3767B"/>
    <w:rsid w:val="00F4288A"/>
    <w:rsid w:val="00F43852"/>
    <w:rsid w:val="00F44C56"/>
    <w:rsid w:val="00F504CE"/>
    <w:rsid w:val="00F50E3B"/>
    <w:rsid w:val="00F50F7D"/>
    <w:rsid w:val="00F51A34"/>
    <w:rsid w:val="00F52A14"/>
    <w:rsid w:val="00F60566"/>
    <w:rsid w:val="00F65F7C"/>
    <w:rsid w:val="00F7750A"/>
    <w:rsid w:val="00F80F48"/>
    <w:rsid w:val="00F83DD0"/>
    <w:rsid w:val="00F84767"/>
    <w:rsid w:val="00F853E1"/>
    <w:rsid w:val="00F9604B"/>
    <w:rsid w:val="00FA0C23"/>
    <w:rsid w:val="00FA0ED0"/>
    <w:rsid w:val="00FA1C7B"/>
    <w:rsid w:val="00FA4FDC"/>
    <w:rsid w:val="00FA5986"/>
    <w:rsid w:val="00FA5F42"/>
    <w:rsid w:val="00FA68F7"/>
    <w:rsid w:val="00FC2017"/>
    <w:rsid w:val="00FC5DCF"/>
    <w:rsid w:val="00FC60DF"/>
    <w:rsid w:val="00FC6377"/>
    <w:rsid w:val="00FC7C20"/>
    <w:rsid w:val="00FD0B55"/>
    <w:rsid w:val="00FD2F5C"/>
    <w:rsid w:val="00FE114D"/>
    <w:rsid w:val="00FE3C6C"/>
    <w:rsid w:val="00FF3ABB"/>
    <w:rsid w:val="00FF42DC"/>
    <w:rsid w:val="00FF61E6"/>
    <w:rsid w:val="00FF7296"/>
    <w:rsid w:val="00FF7C66"/>
    <w:rsid w:val="02D3F4E3"/>
    <w:rsid w:val="03E322AA"/>
    <w:rsid w:val="043C7882"/>
    <w:rsid w:val="053148A8"/>
    <w:rsid w:val="08322550"/>
    <w:rsid w:val="0BF05971"/>
    <w:rsid w:val="0CAB1494"/>
    <w:rsid w:val="0E5BA82D"/>
    <w:rsid w:val="0FF2B928"/>
    <w:rsid w:val="102ACCBC"/>
    <w:rsid w:val="160159CE"/>
    <w:rsid w:val="18E49119"/>
    <w:rsid w:val="1B318061"/>
    <w:rsid w:val="1DC868C8"/>
    <w:rsid w:val="1DD90122"/>
    <w:rsid w:val="1EFA5F1E"/>
    <w:rsid w:val="2484C6B6"/>
    <w:rsid w:val="250FC623"/>
    <w:rsid w:val="255A225B"/>
    <w:rsid w:val="25E54BC3"/>
    <w:rsid w:val="2950392F"/>
    <w:rsid w:val="2C4AA9B7"/>
    <w:rsid w:val="2D0A84FB"/>
    <w:rsid w:val="2E0A5BE8"/>
    <w:rsid w:val="30AA86D2"/>
    <w:rsid w:val="31E3E5E3"/>
    <w:rsid w:val="34A9C253"/>
    <w:rsid w:val="359CBD45"/>
    <w:rsid w:val="374993D2"/>
    <w:rsid w:val="3761E136"/>
    <w:rsid w:val="38F471F8"/>
    <w:rsid w:val="39650EF7"/>
    <w:rsid w:val="39D4F4E9"/>
    <w:rsid w:val="41FCEABD"/>
    <w:rsid w:val="47280AD8"/>
    <w:rsid w:val="4729467D"/>
    <w:rsid w:val="4B828A89"/>
    <w:rsid w:val="4D59F188"/>
    <w:rsid w:val="4F29C32E"/>
    <w:rsid w:val="5164EECB"/>
    <w:rsid w:val="51BCDCE3"/>
    <w:rsid w:val="53178507"/>
    <w:rsid w:val="5491E4F4"/>
    <w:rsid w:val="557DAF62"/>
    <w:rsid w:val="55F3705D"/>
    <w:rsid w:val="5A05808C"/>
    <w:rsid w:val="5A5D3F3C"/>
    <w:rsid w:val="5B037A42"/>
    <w:rsid w:val="5B800B88"/>
    <w:rsid w:val="5D17BFB5"/>
    <w:rsid w:val="603D9AEB"/>
    <w:rsid w:val="664D0E9F"/>
    <w:rsid w:val="6C718098"/>
    <w:rsid w:val="6D3F3C04"/>
    <w:rsid w:val="6F5C6FB6"/>
    <w:rsid w:val="6FC84AB7"/>
    <w:rsid w:val="752B5281"/>
    <w:rsid w:val="763E29E5"/>
    <w:rsid w:val="76AD6AED"/>
    <w:rsid w:val="7777C053"/>
    <w:rsid w:val="7849CAE6"/>
    <w:rsid w:val="7F0C6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18F99D6"/>
  <w15:docId w15:val="{F2E930D7-CCE4-42FC-AB79-9A1A356C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E3C7C"/>
    <w:rPr>
      <w:color w:val="800080" w:themeColor="followedHyperlink"/>
      <w:u w:val="single"/>
    </w:rPr>
  </w:style>
  <w:style w:type="character" w:styleId="UnresolvedMention">
    <w:name w:val="Unresolved Mention"/>
    <w:basedOn w:val="DefaultParagraphFont"/>
    <w:uiPriority w:val="99"/>
    <w:semiHidden/>
    <w:unhideWhenUsed/>
    <w:rsid w:val="004D2495"/>
    <w:rPr>
      <w:color w:val="605E5C"/>
      <w:shd w:val="clear" w:color="auto" w:fill="E1DFDD"/>
    </w:rPr>
  </w:style>
  <w:style w:type="paragraph" w:styleId="Header">
    <w:name w:val="header"/>
    <w:basedOn w:val="Normal"/>
    <w:link w:val="HeaderChar"/>
    <w:uiPriority w:val="99"/>
    <w:unhideWhenUsed/>
    <w:rsid w:val="002A6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BB7"/>
  </w:style>
  <w:style w:type="paragraph" w:styleId="Footer">
    <w:name w:val="footer"/>
    <w:basedOn w:val="Normal"/>
    <w:link w:val="FooterChar"/>
    <w:uiPriority w:val="99"/>
    <w:unhideWhenUsed/>
    <w:rsid w:val="002A6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020795">
      <w:bodyDiv w:val="1"/>
      <w:marLeft w:val="0"/>
      <w:marRight w:val="0"/>
      <w:marTop w:val="0"/>
      <w:marBottom w:val="0"/>
      <w:divBdr>
        <w:top w:val="none" w:sz="0" w:space="0" w:color="auto"/>
        <w:left w:val="none" w:sz="0" w:space="0" w:color="auto"/>
        <w:bottom w:val="none" w:sz="0" w:space="0" w:color="auto"/>
        <w:right w:val="none" w:sz="0" w:space="0" w:color="auto"/>
      </w:divBdr>
    </w:div>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1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donline.co.uk/news/just-1-of-architects-are-black-arb-survey-shows/5107075.articl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484855/The_recruitment_and_retention_of_transgender_staff-_guidance_for_employer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hrc.ukri.org/peerreview/peer-review-resourc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wp-content/uploads/2021/07/UKRI-230721-4995CommsResumeJointFundersStatement-Final.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B1CBD2CDA76EC4E96B016481DC07539" ma:contentTypeVersion="0" ma:contentTypeDescription="Create a new document." ma:contentTypeScope="" ma:versionID="7a81a4416c1f777f4a04051e25de6b66">
  <xsd:schema xmlns:xsd="http://www.w3.org/2001/XMLSchema" xmlns:xs="http://www.w3.org/2001/XMLSchema" xmlns:p="http://schemas.microsoft.com/office/2006/metadata/properties" xmlns:ns2="c867bc44-bef3-42e1-9af1-b47c5eb245c7" targetNamespace="http://schemas.microsoft.com/office/2006/metadata/properties" ma:root="true" ma:fieldsID="b7eab950b8fdadefe1249bc977b709ef" ns2:_="">
    <xsd:import namespace="c867bc44-bef3-42e1-9af1-b47c5eb245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7bc44-bef3-42e1-9af1-b47c5eb245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867bc44-bef3-42e1-9af1-b47c5eb245c7">DYXCUT-1606662761-4893</_dlc_DocId>
    <_dlc_DocIdUrl xmlns="c867bc44-bef3-42e1-9af1-b47c5eb245c7">
      <Url>https://psuportal.ahrc.ac.uk/docyard/xcut/rct/_layouts/15/DocIdRedir.aspx?ID=DYXCUT-1606662761-4893</Url>
      <Description>DYXCUT-1606662761-4893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E33C5-C714-4FC9-B12A-CD3A24FC0AF0}">
  <ds:schemaRefs>
    <ds:schemaRef ds:uri="http://schemas.microsoft.com/sharepoint/events"/>
  </ds:schemaRefs>
</ds:datastoreItem>
</file>

<file path=customXml/itemProps2.xml><?xml version="1.0" encoding="utf-8"?>
<ds:datastoreItem xmlns:ds="http://schemas.openxmlformats.org/officeDocument/2006/customXml" ds:itemID="{C5F667E9-9FCB-4A7D-AB22-9A27A583F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7bc44-bef3-42e1-9af1-b47c5eb24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396D4-4CDC-4F17-9621-7C6F90189CB8}">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c867bc44-bef3-42e1-9af1-b47c5eb245c7"/>
    <ds:schemaRef ds:uri="http://www.w3.org/XML/1998/namespace"/>
  </ds:schemaRefs>
</ds:datastoreItem>
</file>

<file path=customXml/itemProps4.xml><?xml version="1.0" encoding="utf-8"?>
<ds:datastoreItem xmlns:ds="http://schemas.openxmlformats.org/officeDocument/2006/customXml" ds:itemID="{C17A67FB-4172-4210-9A2C-06B7986077A6}">
  <ds:schemaRefs>
    <ds:schemaRef ds:uri="http://schemas.openxmlformats.org/officeDocument/2006/bibliography"/>
  </ds:schemaRefs>
</ds:datastoreItem>
</file>

<file path=customXml/itemProps5.xml><?xml version="1.0" encoding="utf-8"?>
<ds:datastoreItem xmlns:ds="http://schemas.openxmlformats.org/officeDocument/2006/customXml" ds:itemID="{AA7F6994-0C01-419B-8B68-469ABDD51F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11</Pages>
  <Words>3477</Words>
  <Characters>19821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EQUALITY IMPACT ASSESSMENTS WS1 Draft</vt:lpstr>
    </vt:vector>
  </TitlesOfParts>
  <Company>RCUK SSC Ltd</Company>
  <LinksUpToDate>false</LinksUpToDate>
  <CharactersWithSpaces>23252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ASSESSMENTS WS1 Draft</dc:title>
  <dc:creator>Liz Hopkinson (BBSRC, SO)</dc:creator>
  <cp:lastModifiedBy>Agnieszka Siewicz - AHRC UKRI</cp:lastModifiedBy>
  <cp:revision>28</cp:revision>
  <cp:lastPrinted>2017-07-13T07:15:00Z</cp:lastPrinted>
  <dcterms:created xsi:type="dcterms:W3CDTF">2021-10-13T13:36:00Z</dcterms:created>
  <dcterms:modified xsi:type="dcterms:W3CDTF">2021-12-21T17:14:00Z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0x0101006B1CBD2CDA76EC4E96B016481DC07539</vt:lpwstr>
  </property>
  <property fmtid="{D5CDD505-2E9C-101B-9397-08002B2CF9AE}" pid="3" name="_dlc_DocIdItemGuid">
    <vt:lpwstr>aaa7c887-14cb-4f71-8d1e-66d2f881f0c5</vt:lpwstr>
  </property>
</Properties>
</file>