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75DDA" w14:textId="473943B6" w:rsidR="00CE252C" w:rsidRPr="00270CDB" w:rsidRDefault="00552ABC" w:rsidP="00552ABC">
      <w:pPr>
        <w:spacing w:after="0" w:line="283" w:lineRule="auto"/>
        <w:jc w:val="both"/>
        <w:rPr>
          <w:rFonts w:asciiTheme="majorHAnsi" w:hAnsiTheme="majorHAnsi" w:cstheme="majorHAnsi"/>
          <w:b/>
          <w:color w:val="000000" w:themeColor="text1"/>
          <w:sz w:val="28"/>
          <w:szCs w:val="28"/>
        </w:rPr>
      </w:pPr>
      <w:r w:rsidRPr="00270CDB">
        <w:rPr>
          <w:rFonts w:asciiTheme="majorHAnsi" w:hAnsiTheme="majorHAnsi" w:cstheme="majorHAnsi"/>
          <w:b/>
          <w:i/>
          <w:color w:val="000000" w:themeColor="text1"/>
          <w:sz w:val="28"/>
          <w:szCs w:val="28"/>
        </w:rPr>
        <w:t xml:space="preserve">Interact </w:t>
      </w:r>
      <w:r w:rsidRPr="00270CDB">
        <w:rPr>
          <w:rFonts w:asciiTheme="majorHAnsi" w:hAnsiTheme="majorHAnsi" w:cstheme="majorHAnsi"/>
          <w:b/>
          <w:color w:val="000000" w:themeColor="text1"/>
          <w:sz w:val="28"/>
          <w:szCs w:val="28"/>
        </w:rPr>
        <w:t>20</w:t>
      </w:r>
      <w:r w:rsidR="006B229B">
        <w:rPr>
          <w:rFonts w:asciiTheme="majorHAnsi" w:hAnsiTheme="majorHAnsi" w:cstheme="majorHAnsi"/>
          <w:b/>
          <w:color w:val="000000" w:themeColor="text1"/>
          <w:sz w:val="28"/>
          <w:szCs w:val="28"/>
        </w:rPr>
        <w:t xml:space="preserve">22 </w:t>
      </w:r>
      <w:r w:rsidR="00CE252C" w:rsidRPr="00270CDB">
        <w:rPr>
          <w:rFonts w:asciiTheme="majorHAnsi" w:hAnsiTheme="majorHAnsi" w:cstheme="majorHAnsi"/>
          <w:b/>
          <w:color w:val="000000" w:themeColor="text1"/>
          <w:sz w:val="28"/>
          <w:szCs w:val="28"/>
        </w:rPr>
        <w:t xml:space="preserve"> Equality Impact Assessment</w:t>
      </w:r>
    </w:p>
    <w:p w14:paraId="42E8553A" w14:textId="77777777" w:rsidR="00CE252C" w:rsidRPr="000861DF" w:rsidRDefault="00CE252C" w:rsidP="00552ABC">
      <w:pPr>
        <w:spacing w:after="0" w:line="283" w:lineRule="auto"/>
        <w:jc w:val="both"/>
        <w:rPr>
          <w:rFonts w:cs="Arial"/>
          <w:b/>
          <w:color w:val="000000" w:themeColor="text1"/>
        </w:rPr>
      </w:pPr>
    </w:p>
    <w:tbl>
      <w:tblPr>
        <w:tblStyle w:val="TableGrid"/>
        <w:tblW w:w="14029" w:type="dxa"/>
        <w:tblCellMar>
          <w:top w:w="57" w:type="dxa"/>
          <w:left w:w="57" w:type="dxa"/>
          <w:bottom w:w="57" w:type="dxa"/>
          <w:right w:w="57" w:type="dxa"/>
        </w:tblCellMar>
        <w:tblLook w:val="04A0" w:firstRow="1" w:lastRow="0" w:firstColumn="1" w:lastColumn="0" w:noHBand="0" w:noVBand="1"/>
      </w:tblPr>
      <w:tblGrid>
        <w:gridCol w:w="3681"/>
        <w:gridCol w:w="10348"/>
      </w:tblGrid>
      <w:tr w:rsidR="00CE252C" w:rsidRPr="000861DF" w14:paraId="09FD4723" w14:textId="77777777" w:rsidTr="00F36AF2">
        <w:trPr>
          <w:trHeight w:val="397"/>
        </w:trPr>
        <w:tc>
          <w:tcPr>
            <w:tcW w:w="3681" w:type="dxa"/>
            <w:shd w:val="clear" w:color="auto" w:fill="002060"/>
          </w:tcPr>
          <w:p w14:paraId="661A7499" w14:textId="77777777" w:rsidR="00CE252C" w:rsidRPr="000861DF" w:rsidRDefault="00CE252C" w:rsidP="00552ABC">
            <w:pPr>
              <w:spacing w:after="0" w:line="283" w:lineRule="auto"/>
              <w:rPr>
                <w:rFonts w:cs="Arial"/>
                <w:b/>
              </w:rPr>
            </w:pPr>
            <w:r w:rsidRPr="000861DF">
              <w:rPr>
                <w:rFonts w:cs="Arial"/>
                <w:b/>
              </w:rPr>
              <w:t>Question</w:t>
            </w:r>
          </w:p>
        </w:tc>
        <w:tc>
          <w:tcPr>
            <w:tcW w:w="10348" w:type="dxa"/>
            <w:shd w:val="clear" w:color="auto" w:fill="002060"/>
          </w:tcPr>
          <w:p w14:paraId="1FF80C51" w14:textId="77777777" w:rsidR="00CE252C" w:rsidRPr="000861DF" w:rsidRDefault="00CE252C" w:rsidP="00552ABC">
            <w:pPr>
              <w:spacing w:after="0" w:line="283" w:lineRule="auto"/>
              <w:rPr>
                <w:rFonts w:cs="Arial"/>
                <w:b/>
              </w:rPr>
            </w:pPr>
            <w:r w:rsidRPr="000861DF">
              <w:rPr>
                <w:rFonts w:cs="Arial"/>
                <w:b/>
              </w:rPr>
              <w:t>Response</w:t>
            </w:r>
          </w:p>
        </w:tc>
      </w:tr>
      <w:tr w:rsidR="00CE252C" w:rsidRPr="000861DF" w14:paraId="1AC548DD" w14:textId="77777777" w:rsidTr="00F36AF2">
        <w:trPr>
          <w:trHeight w:val="397"/>
        </w:trPr>
        <w:tc>
          <w:tcPr>
            <w:tcW w:w="3681" w:type="dxa"/>
            <w:shd w:val="clear" w:color="auto" w:fill="B4C6E7" w:themeFill="accent5" w:themeFillTint="66"/>
          </w:tcPr>
          <w:p w14:paraId="549EB6AC" w14:textId="77777777" w:rsidR="00CE252C" w:rsidRPr="000861DF" w:rsidRDefault="00CE252C" w:rsidP="00552ABC">
            <w:pPr>
              <w:pStyle w:val="ListParagraph"/>
              <w:numPr>
                <w:ilvl w:val="0"/>
                <w:numId w:val="1"/>
              </w:numPr>
              <w:spacing w:after="0" w:line="283" w:lineRule="auto"/>
              <w:contextualSpacing w:val="0"/>
              <w:rPr>
                <w:rFonts w:asciiTheme="minorHAnsi" w:hAnsiTheme="minorHAnsi" w:cs="Arial"/>
                <w:b/>
              </w:rPr>
            </w:pPr>
            <w:r w:rsidRPr="000861DF">
              <w:rPr>
                <w:rFonts w:asciiTheme="minorHAnsi" w:hAnsiTheme="minorHAnsi" w:cs="Arial"/>
                <w:b/>
              </w:rPr>
              <w:t>Name of policy/funding activity/event being assessed</w:t>
            </w:r>
          </w:p>
        </w:tc>
        <w:tc>
          <w:tcPr>
            <w:tcW w:w="10348" w:type="dxa"/>
          </w:tcPr>
          <w:p w14:paraId="67D2BDB9" w14:textId="25B1BF89" w:rsidR="00CE252C" w:rsidRPr="00552ABC" w:rsidRDefault="00552ABC" w:rsidP="00552ABC">
            <w:pPr>
              <w:spacing w:after="0" w:line="283" w:lineRule="auto"/>
              <w:rPr>
                <w:rFonts w:asciiTheme="majorHAnsi" w:hAnsiTheme="majorHAnsi" w:cstheme="majorHAnsi"/>
              </w:rPr>
            </w:pPr>
            <w:r w:rsidRPr="00552ABC">
              <w:rPr>
                <w:rFonts w:asciiTheme="majorHAnsi" w:hAnsiTheme="majorHAnsi" w:cstheme="majorHAnsi"/>
                <w:i/>
              </w:rPr>
              <w:t>Interact</w:t>
            </w:r>
            <w:r w:rsidRPr="00552ABC">
              <w:rPr>
                <w:rFonts w:asciiTheme="majorHAnsi" w:hAnsiTheme="majorHAnsi" w:cstheme="majorHAnsi"/>
              </w:rPr>
              <w:t xml:space="preserve"> 20</w:t>
            </w:r>
            <w:r w:rsidR="006B229B">
              <w:rPr>
                <w:rFonts w:asciiTheme="majorHAnsi" w:hAnsiTheme="majorHAnsi" w:cstheme="majorHAnsi"/>
              </w:rPr>
              <w:t>22</w:t>
            </w:r>
            <w:r w:rsidRPr="00552ABC">
              <w:rPr>
                <w:rFonts w:asciiTheme="majorHAnsi" w:hAnsiTheme="majorHAnsi" w:cstheme="majorHAnsi"/>
              </w:rPr>
              <w:t xml:space="preserve">: </w:t>
            </w:r>
            <w:r w:rsidR="006B229B">
              <w:rPr>
                <w:rFonts w:asciiTheme="majorHAnsi" w:hAnsiTheme="majorHAnsi" w:cstheme="majorHAnsi"/>
              </w:rPr>
              <w:t xml:space="preserve">An </w:t>
            </w:r>
            <w:r w:rsidRPr="00552ABC">
              <w:rPr>
                <w:rFonts w:asciiTheme="majorHAnsi" w:hAnsiTheme="majorHAnsi" w:cstheme="majorHAnsi"/>
              </w:rPr>
              <w:t xml:space="preserve">engagement symposium focused around the physical sciences. The event is supported by STFC, the Institute of Physics, SEPnet, the Royal Astronomical Society, the Ogden Trust, and </w:t>
            </w:r>
            <w:r w:rsidR="006B229B">
              <w:rPr>
                <w:rFonts w:asciiTheme="majorHAnsi" w:hAnsiTheme="majorHAnsi" w:cstheme="majorHAnsi"/>
              </w:rPr>
              <w:t xml:space="preserve">Cardiff University </w:t>
            </w:r>
          </w:p>
        </w:tc>
      </w:tr>
      <w:tr w:rsidR="00CE252C" w:rsidRPr="000861DF" w14:paraId="6B730497" w14:textId="77777777" w:rsidTr="00F36AF2">
        <w:trPr>
          <w:trHeight w:val="397"/>
        </w:trPr>
        <w:tc>
          <w:tcPr>
            <w:tcW w:w="3681" w:type="dxa"/>
            <w:shd w:val="clear" w:color="auto" w:fill="B4C6E7" w:themeFill="accent5" w:themeFillTint="66"/>
          </w:tcPr>
          <w:p w14:paraId="1D88F3EB" w14:textId="77777777" w:rsidR="00CE252C" w:rsidRPr="000861DF" w:rsidRDefault="00CE252C" w:rsidP="00552ABC">
            <w:pPr>
              <w:pStyle w:val="ListParagraph"/>
              <w:numPr>
                <w:ilvl w:val="0"/>
                <w:numId w:val="1"/>
              </w:numPr>
              <w:spacing w:after="0" w:line="283" w:lineRule="auto"/>
              <w:contextualSpacing w:val="0"/>
              <w:rPr>
                <w:rFonts w:asciiTheme="minorHAnsi" w:hAnsiTheme="minorHAnsi" w:cs="Arial"/>
                <w:b/>
              </w:rPr>
            </w:pPr>
            <w:r w:rsidRPr="000861DF">
              <w:rPr>
                <w:rFonts w:asciiTheme="minorHAnsi" w:hAnsiTheme="minorHAnsi" w:cs="Arial"/>
                <w:b/>
              </w:rPr>
              <w:t>Summary of aims and objectives of the policy/funding activity/event</w:t>
            </w:r>
          </w:p>
        </w:tc>
        <w:tc>
          <w:tcPr>
            <w:tcW w:w="10348" w:type="dxa"/>
          </w:tcPr>
          <w:p w14:paraId="2A326E0F" w14:textId="7DA535CC" w:rsidR="00552ABC" w:rsidRDefault="00552ABC" w:rsidP="006B229B">
            <w:pPr>
              <w:spacing w:after="0" w:line="283" w:lineRule="auto"/>
              <w:rPr>
                <w:rFonts w:asciiTheme="majorHAnsi" w:hAnsiTheme="majorHAnsi" w:cstheme="majorHAnsi"/>
              </w:rPr>
            </w:pPr>
            <w:r w:rsidRPr="00552ABC">
              <w:rPr>
                <w:rFonts w:asciiTheme="majorHAnsi" w:hAnsiTheme="majorHAnsi" w:cstheme="majorHAnsi"/>
                <w:i/>
              </w:rPr>
              <w:t>Interact</w:t>
            </w:r>
            <w:r w:rsidRPr="00552ABC">
              <w:rPr>
                <w:rFonts w:asciiTheme="majorHAnsi" w:hAnsiTheme="majorHAnsi" w:cstheme="majorHAnsi"/>
              </w:rPr>
              <w:t xml:space="preserve"> 20</w:t>
            </w:r>
            <w:r w:rsidR="006B229B">
              <w:rPr>
                <w:rFonts w:asciiTheme="majorHAnsi" w:hAnsiTheme="majorHAnsi" w:cstheme="majorHAnsi"/>
              </w:rPr>
              <w:t>22</w:t>
            </w:r>
            <w:r w:rsidRPr="00552ABC">
              <w:rPr>
                <w:rFonts w:asciiTheme="majorHAnsi" w:hAnsiTheme="majorHAnsi" w:cstheme="majorHAnsi"/>
              </w:rPr>
              <w:t xml:space="preserve"> has the following symposium objective</w:t>
            </w:r>
            <w:r w:rsidR="006B229B">
              <w:rPr>
                <w:rFonts w:asciiTheme="majorHAnsi" w:hAnsiTheme="majorHAnsi" w:cstheme="majorHAnsi"/>
              </w:rPr>
              <w:t>s:</w:t>
            </w:r>
          </w:p>
          <w:p w14:paraId="22897026" w14:textId="77777777" w:rsidR="006B229B" w:rsidRDefault="006B229B" w:rsidP="006B229B">
            <w:pPr>
              <w:pStyle w:val="ListParagraph"/>
              <w:numPr>
                <w:ilvl w:val="0"/>
                <w:numId w:val="22"/>
              </w:numPr>
              <w:spacing w:after="0"/>
              <w:jc w:val="both"/>
              <w:rPr>
                <w:rFonts w:cstheme="minorHAnsi"/>
              </w:rPr>
            </w:pPr>
            <w:r w:rsidRPr="008525F1">
              <w:rPr>
                <w:rFonts w:cstheme="minorHAnsi"/>
              </w:rPr>
              <w:t xml:space="preserve">To explore how stories of STEM research can be used to build a society that values and participates in  STEM </w:t>
            </w:r>
          </w:p>
          <w:p w14:paraId="0DA02565" w14:textId="77777777" w:rsidR="006B229B" w:rsidRPr="008525F1" w:rsidRDefault="006B229B" w:rsidP="006B229B">
            <w:pPr>
              <w:pStyle w:val="ListParagraph"/>
              <w:jc w:val="both"/>
              <w:rPr>
                <w:rFonts w:cstheme="minorHAnsi"/>
              </w:rPr>
            </w:pPr>
          </w:p>
          <w:p w14:paraId="53C74106" w14:textId="77777777" w:rsidR="006B229B" w:rsidRPr="008525F1" w:rsidRDefault="006B229B" w:rsidP="006B229B">
            <w:pPr>
              <w:pStyle w:val="ListParagraph"/>
              <w:numPr>
                <w:ilvl w:val="0"/>
                <w:numId w:val="22"/>
              </w:numPr>
              <w:spacing w:after="0"/>
              <w:jc w:val="both"/>
              <w:rPr>
                <w:rFonts w:cstheme="minorHAnsi"/>
              </w:rPr>
            </w:pPr>
            <w:r w:rsidRPr="008525F1">
              <w:rPr>
                <w:rFonts w:cstheme="minorHAnsi"/>
              </w:rPr>
              <w:t xml:space="preserve">To </w:t>
            </w:r>
            <w:r>
              <w:rPr>
                <w:rFonts w:cstheme="minorHAnsi"/>
              </w:rPr>
              <w:t>support the creation and sustainability of</w:t>
            </w:r>
            <w:r w:rsidRPr="008525F1">
              <w:rPr>
                <w:rFonts w:cstheme="minorHAnsi"/>
              </w:rPr>
              <w:t xml:space="preserve"> community networks in STEM engagement</w:t>
            </w:r>
          </w:p>
          <w:p w14:paraId="1E1658E6" w14:textId="77777777" w:rsidR="006B229B" w:rsidRPr="008525F1" w:rsidRDefault="006B229B" w:rsidP="006B229B">
            <w:pPr>
              <w:jc w:val="both"/>
              <w:rPr>
                <w:rFonts w:cstheme="minorHAnsi"/>
              </w:rPr>
            </w:pPr>
          </w:p>
          <w:p w14:paraId="5A5D419A" w14:textId="77777777" w:rsidR="006B229B" w:rsidRPr="008525F1" w:rsidRDefault="006B229B" w:rsidP="006B229B">
            <w:pPr>
              <w:pStyle w:val="ListParagraph"/>
              <w:numPr>
                <w:ilvl w:val="0"/>
                <w:numId w:val="22"/>
              </w:numPr>
              <w:spacing w:after="0"/>
              <w:jc w:val="both"/>
              <w:rPr>
                <w:rFonts w:cstheme="minorHAnsi"/>
              </w:rPr>
            </w:pPr>
            <w:r w:rsidRPr="008525F1">
              <w:rPr>
                <w:rFonts w:cstheme="minorHAnsi"/>
              </w:rPr>
              <w:t>Sharing success stories</w:t>
            </w:r>
            <w:r>
              <w:rPr>
                <w:rFonts w:cstheme="minorHAnsi"/>
              </w:rPr>
              <w:t xml:space="preserve"> and the challenges (what worked and what didn’t) </w:t>
            </w:r>
            <w:r w:rsidRPr="008525F1">
              <w:rPr>
                <w:rFonts w:cstheme="minorHAnsi"/>
              </w:rPr>
              <w:t xml:space="preserve">of STEM engagement and how we can learn from them </w:t>
            </w:r>
          </w:p>
          <w:p w14:paraId="46AA86D0" w14:textId="77777777" w:rsidR="006B229B" w:rsidRPr="00293ED3" w:rsidRDefault="006B229B" w:rsidP="006B229B">
            <w:pPr>
              <w:rPr>
                <w:rFonts w:cstheme="minorHAnsi"/>
              </w:rPr>
            </w:pPr>
          </w:p>
          <w:p w14:paraId="1702B98C" w14:textId="77777777" w:rsidR="006B229B" w:rsidRPr="00293ED3" w:rsidRDefault="006B229B" w:rsidP="006B229B">
            <w:pPr>
              <w:numPr>
                <w:ilvl w:val="0"/>
                <w:numId w:val="21"/>
              </w:numPr>
              <w:spacing w:after="0" w:line="240" w:lineRule="auto"/>
              <w:rPr>
                <w:rFonts w:cstheme="minorHAnsi"/>
              </w:rPr>
            </w:pPr>
            <w:r w:rsidRPr="00293ED3">
              <w:rPr>
                <w:rFonts w:cstheme="minorHAnsi"/>
              </w:rPr>
              <w:t>To highlight the importance of</w:t>
            </w:r>
            <w:r>
              <w:rPr>
                <w:rFonts w:cstheme="minorHAnsi"/>
              </w:rPr>
              <w:t xml:space="preserve"> </w:t>
            </w:r>
            <w:r w:rsidRPr="00293ED3">
              <w:rPr>
                <w:rFonts w:cstheme="minorHAnsi"/>
              </w:rPr>
              <w:t>public engagement activities in raising the profile of research conducted at their own organisations, and to make the role of their laboratories ‘part of the story.’</w:t>
            </w:r>
          </w:p>
          <w:p w14:paraId="5E94FD7C" w14:textId="77777777" w:rsidR="006B229B" w:rsidRPr="00293ED3" w:rsidRDefault="006B229B" w:rsidP="006B229B">
            <w:pPr>
              <w:rPr>
                <w:rFonts w:cstheme="minorHAnsi"/>
              </w:rPr>
            </w:pPr>
          </w:p>
          <w:p w14:paraId="14CD5EC8" w14:textId="77777777" w:rsidR="006B229B" w:rsidRPr="00293ED3" w:rsidRDefault="006B229B" w:rsidP="006B229B">
            <w:pPr>
              <w:numPr>
                <w:ilvl w:val="0"/>
                <w:numId w:val="21"/>
              </w:numPr>
              <w:spacing w:after="0" w:line="240" w:lineRule="auto"/>
              <w:rPr>
                <w:rFonts w:cstheme="minorHAnsi"/>
              </w:rPr>
            </w:pPr>
            <w:r w:rsidRPr="00293ED3">
              <w:rPr>
                <w:rFonts w:cstheme="minorHAnsi"/>
              </w:rPr>
              <w:t>To build capacity by developing</w:t>
            </w:r>
            <w:r>
              <w:rPr>
                <w:rFonts w:cstheme="minorHAnsi"/>
              </w:rPr>
              <w:t xml:space="preserve"> </w:t>
            </w:r>
            <w:r w:rsidRPr="00293ED3">
              <w:rPr>
                <w:rFonts w:cstheme="minorHAnsi"/>
              </w:rPr>
              <w:t xml:space="preserve">public engagement skills via fully interactive workshops for researchers.  </w:t>
            </w:r>
          </w:p>
          <w:p w14:paraId="25B9E53E" w14:textId="77777777" w:rsidR="006B229B" w:rsidRPr="00293ED3" w:rsidRDefault="006B229B" w:rsidP="006B229B">
            <w:pPr>
              <w:rPr>
                <w:rFonts w:cstheme="minorHAnsi"/>
              </w:rPr>
            </w:pPr>
          </w:p>
          <w:p w14:paraId="679C330B" w14:textId="77777777" w:rsidR="006B229B" w:rsidRPr="00293ED3" w:rsidRDefault="006B229B" w:rsidP="006B229B">
            <w:pPr>
              <w:numPr>
                <w:ilvl w:val="0"/>
                <w:numId w:val="21"/>
              </w:numPr>
              <w:spacing w:after="0" w:line="240" w:lineRule="auto"/>
              <w:rPr>
                <w:rFonts w:cstheme="minorHAnsi"/>
              </w:rPr>
            </w:pPr>
            <w:r w:rsidRPr="00293ED3">
              <w:rPr>
                <w:rFonts w:cstheme="minorHAnsi"/>
              </w:rPr>
              <w:t xml:space="preserve">To hear from researchers about their needs including funding and training, reward and recognition and wider benefits- influencing policy makers, government, and embedding public engagement in their own work. </w:t>
            </w:r>
          </w:p>
          <w:p w14:paraId="6E5F1DB0" w14:textId="77777777" w:rsidR="006B229B" w:rsidRPr="00293ED3" w:rsidRDefault="006B229B" w:rsidP="006B229B">
            <w:pPr>
              <w:ind w:left="720"/>
              <w:rPr>
                <w:rFonts w:cstheme="minorHAnsi"/>
              </w:rPr>
            </w:pPr>
          </w:p>
          <w:p w14:paraId="5202C9F8" w14:textId="77777777" w:rsidR="006B229B" w:rsidRPr="00293ED3" w:rsidRDefault="006B229B" w:rsidP="006B229B">
            <w:pPr>
              <w:numPr>
                <w:ilvl w:val="0"/>
                <w:numId w:val="21"/>
              </w:numPr>
              <w:spacing w:after="0" w:line="240" w:lineRule="auto"/>
              <w:rPr>
                <w:rFonts w:cstheme="minorHAnsi"/>
              </w:rPr>
            </w:pPr>
            <w:r w:rsidRPr="00293ED3">
              <w:rPr>
                <w:rFonts w:cstheme="minorHAnsi"/>
              </w:rPr>
              <w:t>To stimulate id</w:t>
            </w:r>
            <w:r>
              <w:rPr>
                <w:rFonts w:cstheme="minorHAnsi"/>
              </w:rPr>
              <w:t xml:space="preserve">eas for </w:t>
            </w:r>
            <w:r w:rsidRPr="00293ED3">
              <w:rPr>
                <w:rFonts w:cstheme="minorHAnsi"/>
              </w:rPr>
              <w:t>public engagement activities by highlighting case studies and sharing good practice with each other and expert practitioners.</w:t>
            </w:r>
          </w:p>
          <w:p w14:paraId="500B11A0" w14:textId="77777777" w:rsidR="006B229B" w:rsidRPr="00293ED3" w:rsidRDefault="006B229B" w:rsidP="006B229B">
            <w:pPr>
              <w:rPr>
                <w:rFonts w:cstheme="minorHAnsi"/>
              </w:rPr>
            </w:pPr>
          </w:p>
          <w:p w14:paraId="53AFFB7E" w14:textId="77777777" w:rsidR="006B229B" w:rsidRDefault="006B229B" w:rsidP="006B229B">
            <w:pPr>
              <w:numPr>
                <w:ilvl w:val="0"/>
                <w:numId w:val="21"/>
              </w:numPr>
              <w:spacing w:after="0" w:line="240" w:lineRule="auto"/>
              <w:rPr>
                <w:rFonts w:cstheme="minorHAnsi"/>
              </w:rPr>
            </w:pPr>
            <w:r w:rsidRPr="00293ED3">
              <w:rPr>
                <w:rFonts w:cstheme="minorHAnsi"/>
              </w:rPr>
              <w:t>To provide guidance and identify resources for enthu</w:t>
            </w:r>
            <w:r>
              <w:rPr>
                <w:rFonts w:cstheme="minorHAnsi"/>
              </w:rPr>
              <w:t xml:space="preserve">siastic researchers for their public engagement </w:t>
            </w:r>
            <w:r w:rsidRPr="00293ED3">
              <w:rPr>
                <w:rFonts w:cstheme="minorHAnsi"/>
              </w:rPr>
              <w:t>work.</w:t>
            </w:r>
          </w:p>
          <w:p w14:paraId="214FFED8" w14:textId="77777777" w:rsidR="006B229B" w:rsidRDefault="006B229B" w:rsidP="006B229B">
            <w:pPr>
              <w:pStyle w:val="ListParagraph"/>
              <w:rPr>
                <w:rFonts w:cstheme="minorHAnsi"/>
              </w:rPr>
            </w:pPr>
          </w:p>
          <w:p w14:paraId="14F077CB" w14:textId="77777777" w:rsidR="006B229B" w:rsidRPr="000C6BE9" w:rsidRDefault="006B229B" w:rsidP="006B229B">
            <w:pPr>
              <w:numPr>
                <w:ilvl w:val="0"/>
                <w:numId w:val="21"/>
              </w:numPr>
              <w:spacing w:after="0" w:line="240" w:lineRule="auto"/>
              <w:rPr>
                <w:rFonts w:cstheme="minorHAnsi"/>
              </w:rPr>
            </w:pPr>
            <w:r>
              <w:rPr>
                <w:rFonts w:cstheme="minorHAnsi"/>
              </w:rPr>
              <w:t xml:space="preserve">To connect researchers with Outreach and Public Engagement professionals </w:t>
            </w:r>
          </w:p>
          <w:p w14:paraId="6830599F" w14:textId="77777777" w:rsidR="006B229B" w:rsidRDefault="006B229B" w:rsidP="006B229B">
            <w:pPr>
              <w:pStyle w:val="ListParagraph"/>
              <w:rPr>
                <w:rFonts w:cstheme="minorHAnsi"/>
              </w:rPr>
            </w:pPr>
          </w:p>
          <w:p w14:paraId="1DA01D1C" w14:textId="77777777" w:rsidR="006B229B" w:rsidRDefault="006B229B" w:rsidP="006B229B">
            <w:pPr>
              <w:spacing w:after="0" w:line="283" w:lineRule="auto"/>
              <w:rPr>
                <w:rFonts w:asciiTheme="majorHAnsi" w:hAnsiTheme="majorHAnsi" w:cstheme="majorHAnsi"/>
              </w:rPr>
            </w:pPr>
          </w:p>
          <w:p w14:paraId="34CE5A82" w14:textId="2E95217C" w:rsidR="006B229B" w:rsidRPr="006B229B" w:rsidRDefault="006B229B" w:rsidP="006B229B">
            <w:pPr>
              <w:spacing w:after="0" w:line="283" w:lineRule="auto"/>
              <w:rPr>
                <w:rFonts w:asciiTheme="majorHAnsi" w:hAnsiTheme="majorHAnsi" w:cstheme="majorHAnsi"/>
              </w:rPr>
            </w:pPr>
          </w:p>
        </w:tc>
      </w:tr>
      <w:tr w:rsidR="00CE252C" w:rsidRPr="000861DF" w14:paraId="66317145" w14:textId="77777777" w:rsidTr="00F36AF2">
        <w:trPr>
          <w:trHeight w:val="397"/>
        </w:trPr>
        <w:tc>
          <w:tcPr>
            <w:tcW w:w="3681" w:type="dxa"/>
            <w:shd w:val="clear" w:color="auto" w:fill="B4C6E7" w:themeFill="accent5" w:themeFillTint="66"/>
          </w:tcPr>
          <w:p w14:paraId="36840D1E" w14:textId="6B534C1F" w:rsidR="00CE252C" w:rsidRPr="000861DF" w:rsidRDefault="00CE252C" w:rsidP="00270CDB">
            <w:pPr>
              <w:pStyle w:val="ListParagraph"/>
              <w:numPr>
                <w:ilvl w:val="0"/>
                <w:numId w:val="1"/>
              </w:numPr>
              <w:spacing w:after="0" w:line="283" w:lineRule="auto"/>
              <w:contextualSpacing w:val="0"/>
              <w:rPr>
                <w:rFonts w:asciiTheme="minorHAnsi" w:hAnsiTheme="minorHAnsi" w:cs="Arial"/>
                <w:b/>
              </w:rPr>
            </w:pPr>
            <w:r w:rsidRPr="000861DF">
              <w:rPr>
                <w:rFonts w:asciiTheme="minorHAnsi" w:hAnsiTheme="minorHAnsi" w:cs="Arial"/>
                <w:b/>
              </w:rPr>
              <w:lastRenderedPageBreak/>
              <w:t xml:space="preserve">What involvement and consultation has been done in relation to this policy? </w:t>
            </w:r>
          </w:p>
        </w:tc>
        <w:tc>
          <w:tcPr>
            <w:tcW w:w="10348" w:type="dxa"/>
          </w:tcPr>
          <w:p w14:paraId="161A45EA" w14:textId="69FE14E8" w:rsidR="00FF4BF4" w:rsidRPr="00C566CC" w:rsidRDefault="00FF4BF4" w:rsidP="00552ABC">
            <w:pPr>
              <w:spacing w:after="0" w:line="283" w:lineRule="auto"/>
              <w:rPr>
                <w:rFonts w:asciiTheme="majorHAnsi" w:hAnsiTheme="majorHAnsi" w:cstheme="majorHAnsi"/>
                <w:i/>
              </w:rPr>
            </w:pPr>
            <w:r w:rsidRPr="001A778A">
              <w:rPr>
                <w:rFonts w:asciiTheme="majorHAnsi" w:hAnsiTheme="majorHAnsi" w:cstheme="majorHAnsi"/>
                <w:i/>
              </w:rPr>
              <w:t xml:space="preserve">Interact </w:t>
            </w:r>
            <w:r w:rsidRPr="001A778A">
              <w:rPr>
                <w:rFonts w:asciiTheme="majorHAnsi" w:hAnsiTheme="majorHAnsi" w:cstheme="majorHAnsi"/>
              </w:rPr>
              <w:t>20</w:t>
            </w:r>
            <w:r w:rsidR="006B229B">
              <w:rPr>
                <w:rFonts w:asciiTheme="majorHAnsi" w:hAnsiTheme="majorHAnsi" w:cstheme="majorHAnsi"/>
              </w:rPr>
              <w:t xml:space="preserve">22 </w:t>
            </w:r>
            <w:r w:rsidRPr="001A778A">
              <w:rPr>
                <w:rFonts w:asciiTheme="majorHAnsi" w:hAnsiTheme="majorHAnsi" w:cstheme="majorHAnsi"/>
              </w:rPr>
              <w:t xml:space="preserve"> is the </w:t>
            </w:r>
            <w:r w:rsidR="006B229B">
              <w:rPr>
                <w:rFonts w:asciiTheme="majorHAnsi" w:hAnsiTheme="majorHAnsi" w:cstheme="majorHAnsi"/>
              </w:rPr>
              <w:t xml:space="preserve">fourth </w:t>
            </w:r>
            <w:r w:rsidRPr="001A778A">
              <w:rPr>
                <w:rFonts w:asciiTheme="majorHAnsi" w:hAnsiTheme="majorHAnsi" w:cstheme="majorHAnsi"/>
              </w:rPr>
              <w:t xml:space="preserve"> national engagement symposium in a series that was launched with </w:t>
            </w:r>
            <w:r w:rsidRPr="001A778A">
              <w:rPr>
                <w:rFonts w:asciiTheme="majorHAnsi" w:hAnsiTheme="majorHAnsi" w:cstheme="majorHAnsi"/>
                <w:i/>
              </w:rPr>
              <w:t>Interact</w:t>
            </w:r>
            <w:r w:rsidRPr="001A778A">
              <w:rPr>
                <w:rFonts w:asciiTheme="majorHAnsi" w:hAnsiTheme="majorHAnsi" w:cstheme="majorHAnsi"/>
              </w:rPr>
              <w:t xml:space="preserve"> 2017, held at the University of Birmingham. The process for organising, delivering, and evaluating the 20</w:t>
            </w:r>
            <w:r w:rsidR="006B229B">
              <w:rPr>
                <w:rFonts w:asciiTheme="majorHAnsi" w:hAnsiTheme="majorHAnsi" w:cstheme="majorHAnsi"/>
              </w:rPr>
              <w:t xml:space="preserve">22 </w:t>
            </w:r>
            <w:r w:rsidRPr="001A778A">
              <w:rPr>
                <w:rFonts w:asciiTheme="majorHAnsi" w:hAnsiTheme="majorHAnsi" w:cstheme="majorHAnsi"/>
              </w:rPr>
              <w:t xml:space="preserve">symposium has been strongly influenced </w:t>
            </w:r>
            <w:r w:rsidR="001A778A" w:rsidRPr="001A778A">
              <w:rPr>
                <w:rFonts w:asciiTheme="majorHAnsi" w:hAnsiTheme="majorHAnsi" w:cstheme="majorHAnsi"/>
              </w:rPr>
              <w:t xml:space="preserve">by the evaluation of </w:t>
            </w:r>
            <w:r w:rsidR="006B229B">
              <w:rPr>
                <w:rFonts w:asciiTheme="majorHAnsi" w:hAnsiTheme="majorHAnsi" w:cstheme="majorHAnsi"/>
              </w:rPr>
              <w:t xml:space="preserve">previous </w:t>
            </w:r>
            <w:r w:rsidR="001A778A" w:rsidRPr="001A778A">
              <w:rPr>
                <w:rFonts w:asciiTheme="majorHAnsi" w:hAnsiTheme="majorHAnsi" w:cstheme="majorHAnsi"/>
              </w:rPr>
              <w:t xml:space="preserve"> event</w:t>
            </w:r>
            <w:r w:rsidR="006B229B">
              <w:rPr>
                <w:rFonts w:asciiTheme="majorHAnsi" w:hAnsiTheme="majorHAnsi" w:cstheme="majorHAnsi"/>
              </w:rPr>
              <w:t xml:space="preserve">s including V- Interact held in 2021 </w:t>
            </w:r>
            <w:r w:rsidR="001A778A" w:rsidRPr="001A778A">
              <w:rPr>
                <w:rFonts w:asciiTheme="majorHAnsi" w:hAnsiTheme="majorHAnsi" w:cstheme="majorHAnsi"/>
              </w:rPr>
              <w:t>, which is available on the</w:t>
            </w:r>
            <w:r w:rsidR="006B229B">
              <w:rPr>
                <w:rFonts w:asciiTheme="majorHAnsi" w:hAnsiTheme="majorHAnsi" w:cstheme="majorHAnsi"/>
              </w:rPr>
              <w:t xml:space="preserve"> UKRI </w:t>
            </w:r>
            <w:r w:rsidR="001A778A" w:rsidRPr="001A778A">
              <w:rPr>
                <w:rFonts w:asciiTheme="majorHAnsi" w:hAnsiTheme="majorHAnsi" w:cstheme="majorHAnsi"/>
              </w:rPr>
              <w:t>website.</w:t>
            </w:r>
            <w:r w:rsidR="001A778A" w:rsidRPr="001A778A">
              <w:rPr>
                <w:rFonts w:asciiTheme="majorHAnsi" w:hAnsiTheme="majorHAnsi" w:cstheme="majorHAnsi"/>
                <w:vertAlign w:val="superscript"/>
              </w:rPr>
              <w:t>(1)</w:t>
            </w:r>
            <w:r w:rsidR="00C566CC">
              <w:rPr>
                <w:rFonts w:asciiTheme="majorHAnsi" w:hAnsiTheme="majorHAnsi" w:cstheme="majorHAnsi"/>
              </w:rPr>
              <w:t xml:space="preserve"> This evaluation includes information on the characteristics of</w:t>
            </w:r>
            <w:r w:rsidR="006B229B">
              <w:rPr>
                <w:rFonts w:asciiTheme="majorHAnsi" w:hAnsiTheme="majorHAnsi" w:cstheme="majorHAnsi"/>
              </w:rPr>
              <w:t xml:space="preserve"> previous </w:t>
            </w:r>
            <w:r w:rsidR="00C566CC">
              <w:rPr>
                <w:rFonts w:asciiTheme="majorHAnsi" w:hAnsiTheme="majorHAnsi" w:cstheme="majorHAnsi"/>
              </w:rPr>
              <w:t xml:space="preserve"> symposium delegates.</w:t>
            </w:r>
          </w:p>
          <w:p w14:paraId="08F8E7D8" w14:textId="77777777" w:rsidR="00FF4BF4" w:rsidRPr="001A778A" w:rsidRDefault="00FF4BF4" w:rsidP="00552ABC">
            <w:pPr>
              <w:spacing w:after="0" w:line="283" w:lineRule="auto"/>
              <w:rPr>
                <w:rFonts w:asciiTheme="majorHAnsi" w:hAnsiTheme="majorHAnsi" w:cstheme="majorHAnsi"/>
              </w:rPr>
            </w:pPr>
          </w:p>
          <w:p w14:paraId="5FC32163" w14:textId="4EC0E10D" w:rsidR="001A778A" w:rsidRDefault="001A778A" w:rsidP="00552ABC">
            <w:pPr>
              <w:spacing w:after="0" w:line="283" w:lineRule="auto"/>
              <w:rPr>
                <w:rFonts w:cs="Arial"/>
              </w:rPr>
            </w:pPr>
            <w:r w:rsidRPr="001A778A">
              <w:rPr>
                <w:rFonts w:asciiTheme="majorHAnsi" w:hAnsiTheme="majorHAnsi" w:cstheme="majorHAnsi"/>
              </w:rPr>
              <w:t>STFC, the Institute of Physics, and SEPnet have</w:t>
            </w:r>
            <w:r w:rsidR="006B229B">
              <w:rPr>
                <w:rFonts w:asciiTheme="majorHAnsi" w:hAnsiTheme="majorHAnsi" w:cstheme="majorHAnsi"/>
              </w:rPr>
              <w:t xml:space="preserve"> worked with trusted </w:t>
            </w:r>
            <w:r w:rsidRPr="001A778A">
              <w:rPr>
                <w:rFonts w:asciiTheme="majorHAnsi" w:hAnsiTheme="majorHAnsi" w:cstheme="majorHAnsi"/>
              </w:rPr>
              <w:t xml:space="preserve">partners with which to deliver </w:t>
            </w:r>
            <w:r w:rsidRPr="001A778A">
              <w:rPr>
                <w:rFonts w:asciiTheme="majorHAnsi" w:hAnsiTheme="majorHAnsi" w:cstheme="majorHAnsi"/>
                <w:i/>
              </w:rPr>
              <w:t>Interact</w:t>
            </w:r>
            <w:r w:rsidRPr="001A778A">
              <w:rPr>
                <w:rFonts w:asciiTheme="majorHAnsi" w:hAnsiTheme="majorHAnsi" w:cstheme="majorHAnsi"/>
              </w:rPr>
              <w:t xml:space="preserve"> 20</w:t>
            </w:r>
            <w:r w:rsidR="006B229B">
              <w:rPr>
                <w:rFonts w:asciiTheme="majorHAnsi" w:hAnsiTheme="majorHAnsi" w:cstheme="majorHAnsi"/>
              </w:rPr>
              <w:t>22</w:t>
            </w:r>
            <w:r w:rsidRPr="001A778A">
              <w:rPr>
                <w:rFonts w:asciiTheme="majorHAnsi" w:hAnsiTheme="majorHAnsi" w:cstheme="majorHAnsi"/>
              </w:rPr>
              <w:t>: the Ogden Trust, the Royal Astronomical Society</w:t>
            </w:r>
            <w:r w:rsidR="006B229B">
              <w:rPr>
                <w:rFonts w:asciiTheme="majorHAnsi" w:hAnsiTheme="majorHAnsi" w:cstheme="majorHAnsi"/>
              </w:rPr>
              <w:t xml:space="preserve"> and Cardiff University </w:t>
            </w:r>
            <w:r w:rsidRPr="001A778A">
              <w:rPr>
                <w:rFonts w:asciiTheme="majorHAnsi" w:hAnsiTheme="majorHAnsi" w:cstheme="majorHAnsi"/>
              </w:rPr>
              <w:t xml:space="preserve">. Each symposium partner is committed to ensuring that </w:t>
            </w:r>
            <w:r w:rsidRPr="001A778A">
              <w:rPr>
                <w:rFonts w:asciiTheme="majorHAnsi" w:hAnsiTheme="majorHAnsi" w:cstheme="majorHAnsi"/>
                <w:i/>
              </w:rPr>
              <w:t>Interact</w:t>
            </w:r>
            <w:r w:rsidRPr="001A778A">
              <w:rPr>
                <w:rFonts w:asciiTheme="majorHAnsi" w:hAnsiTheme="majorHAnsi" w:cstheme="majorHAnsi"/>
              </w:rPr>
              <w:t xml:space="preserve"> 20</w:t>
            </w:r>
            <w:r w:rsidR="006B229B">
              <w:rPr>
                <w:rFonts w:asciiTheme="majorHAnsi" w:hAnsiTheme="majorHAnsi" w:cstheme="majorHAnsi"/>
              </w:rPr>
              <w:t>22</w:t>
            </w:r>
            <w:r w:rsidRPr="001A778A">
              <w:rPr>
                <w:rFonts w:asciiTheme="majorHAnsi" w:hAnsiTheme="majorHAnsi" w:cstheme="majorHAnsi"/>
              </w:rPr>
              <w:t xml:space="preserve"> is a diverse, welcoming and inclusive event by:</w:t>
            </w:r>
          </w:p>
          <w:p w14:paraId="391976D1" w14:textId="7BAF5FD8"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Determining a clear list of symposium aims, objectives, and thematic topics</w:t>
            </w:r>
          </w:p>
          <w:p w14:paraId="11FCD084" w14:textId="3E5ABFB3"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Ensuring that a suitable host institution is selected as a partner that can meet the requirements of the sponsors with regards to diversity and inclusion</w:t>
            </w:r>
          </w:p>
          <w:p w14:paraId="3A79194F" w14:textId="77777777"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Considering all reasonable requests for the provision of funding and/or in-kind support to ensure that the symposium meets its aims and objectives in a manner consistent with its policy on diversity and inclusion</w:t>
            </w:r>
          </w:p>
          <w:p w14:paraId="2F5C3141" w14:textId="3E351259"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Agreeing</w:t>
            </w:r>
            <w:r w:rsidR="006B229B">
              <w:rPr>
                <w:rFonts w:asciiTheme="majorHAnsi" w:hAnsiTheme="majorHAnsi" w:cstheme="majorHAnsi"/>
              </w:rPr>
              <w:t xml:space="preserve"> and publishing </w:t>
            </w:r>
            <w:r>
              <w:rPr>
                <w:rFonts w:asciiTheme="majorHAnsi" w:hAnsiTheme="majorHAnsi" w:cstheme="majorHAnsi"/>
              </w:rPr>
              <w:t xml:space="preserve"> a symposium Code of Conduct that makes clear the expectations of the partners with regards to behaviours and attitudes of all symposium attendees</w:t>
            </w:r>
          </w:p>
          <w:p w14:paraId="2EB69294" w14:textId="77777777" w:rsidR="00C566CC" w:rsidRDefault="00C566CC"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Designing a process that allows symposium attendees to exert influence over the workshops and seminars contained within the symposium agenda</w:t>
            </w:r>
          </w:p>
          <w:p w14:paraId="2D2213A1" w14:textId="2A38D299" w:rsidR="00C566CC" w:rsidRDefault="00C566CC"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lastRenderedPageBreak/>
              <w:t>Ensuring that the symposium is structured in such a way to ensure that participants have flexibility and choice in which sessions to attend, and the opportunity and space for both networking and personal reflection as appropriate to the individual</w:t>
            </w:r>
          </w:p>
          <w:p w14:paraId="12E30668" w14:textId="79168862"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Providing appropriate support in form of publicity and media coverage in advance of, during, and after the symposium</w:t>
            </w:r>
          </w:p>
          <w:p w14:paraId="707B18ED" w14:textId="2452E20A" w:rsidR="001A778A" w:rsidRDefault="001A778A" w:rsidP="00270CDB">
            <w:pPr>
              <w:pStyle w:val="ListParagraph"/>
              <w:numPr>
                <w:ilvl w:val="0"/>
                <w:numId w:val="19"/>
              </w:numPr>
              <w:spacing w:after="0" w:line="283" w:lineRule="auto"/>
              <w:rPr>
                <w:rFonts w:asciiTheme="majorHAnsi" w:hAnsiTheme="majorHAnsi" w:cstheme="majorHAnsi"/>
              </w:rPr>
            </w:pPr>
            <w:r>
              <w:rPr>
                <w:rFonts w:asciiTheme="majorHAnsi" w:hAnsiTheme="majorHAnsi" w:cstheme="majorHAnsi"/>
              </w:rPr>
              <w:t xml:space="preserve">Committing to fully participate in the evaluation and review of </w:t>
            </w:r>
            <w:r>
              <w:rPr>
                <w:rFonts w:asciiTheme="majorHAnsi" w:hAnsiTheme="majorHAnsi" w:cstheme="majorHAnsi"/>
                <w:i/>
              </w:rPr>
              <w:t>Interact</w:t>
            </w:r>
            <w:r>
              <w:rPr>
                <w:rFonts w:asciiTheme="majorHAnsi" w:hAnsiTheme="majorHAnsi" w:cstheme="majorHAnsi"/>
              </w:rPr>
              <w:t xml:space="preserve"> 20</w:t>
            </w:r>
            <w:r w:rsidR="006B229B">
              <w:rPr>
                <w:rFonts w:asciiTheme="majorHAnsi" w:hAnsiTheme="majorHAnsi" w:cstheme="majorHAnsi"/>
              </w:rPr>
              <w:t>22</w:t>
            </w:r>
            <w:r>
              <w:rPr>
                <w:rFonts w:asciiTheme="majorHAnsi" w:hAnsiTheme="majorHAnsi" w:cstheme="majorHAnsi"/>
              </w:rPr>
              <w:t>, and publishing the results of that evaluation for wider consumption</w:t>
            </w:r>
          </w:p>
          <w:p w14:paraId="49D86E3E" w14:textId="77777777" w:rsidR="00270CDB" w:rsidRDefault="00270CDB" w:rsidP="00270CDB">
            <w:pPr>
              <w:spacing w:after="0" w:line="283" w:lineRule="auto"/>
              <w:rPr>
                <w:rFonts w:asciiTheme="majorHAnsi" w:hAnsiTheme="majorHAnsi" w:cstheme="majorHAnsi"/>
              </w:rPr>
            </w:pPr>
          </w:p>
          <w:p w14:paraId="0872D4C8" w14:textId="4F874F66" w:rsidR="00270CDB" w:rsidRDefault="00270CDB" w:rsidP="00270CDB">
            <w:pPr>
              <w:spacing w:after="0" w:line="283" w:lineRule="auto"/>
              <w:rPr>
                <w:rFonts w:asciiTheme="majorHAnsi" w:hAnsiTheme="majorHAnsi" w:cstheme="majorHAnsi"/>
              </w:rPr>
            </w:pPr>
            <w:r>
              <w:rPr>
                <w:rFonts w:asciiTheme="majorHAnsi" w:hAnsiTheme="majorHAnsi" w:cstheme="majorHAnsi"/>
              </w:rPr>
              <w:t xml:space="preserve">The symposium partners are working with </w:t>
            </w:r>
            <w:r w:rsidR="006B229B">
              <w:rPr>
                <w:rFonts w:asciiTheme="majorHAnsi" w:hAnsiTheme="majorHAnsi" w:cstheme="majorHAnsi"/>
              </w:rPr>
              <w:t xml:space="preserve">Cardiff University and the Conference team at Cardiff City Hall </w:t>
            </w:r>
            <w:r>
              <w:rPr>
                <w:rFonts w:asciiTheme="majorHAnsi" w:hAnsiTheme="majorHAnsi" w:cstheme="majorHAnsi"/>
              </w:rPr>
              <w:t>as their host institution</w:t>
            </w:r>
            <w:r w:rsidR="006B229B">
              <w:rPr>
                <w:rFonts w:asciiTheme="majorHAnsi" w:hAnsiTheme="majorHAnsi" w:cstheme="majorHAnsi"/>
              </w:rPr>
              <w:t xml:space="preserve">s and </w:t>
            </w:r>
            <w:r>
              <w:rPr>
                <w:rFonts w:asciiTheme="majorHAnsi" w:hAnsiTheme="majorHAnsi" w:cstheme="majorHAnsi"/>
              </w:rPr>
              <w:t xml:space="preserve"> partner</w:t>
            </w:r>
            <w:r w:rsidR="006B229B">
              <w:rPr>
                <w:rFonts w:asciiTheme="majorHAnsi" w:hAnsiTheme="majorHAnsi" w:cstheme="majorHAnsi"/>
              </w:rPr>
              <w:t>s</w:t>
            </w:r>
            <w:r>
              <w:rPr>
                <w:rFonts w:asciiTheme="majorHAnsi" w:hAnsiTheme="majorHAnsi" w:cstheme="majorHAnsi"/>
              </w:rPr>
              <w:t xml:space="preserve"> for </w:t>
            </w:r>
            <w:r>
              <w:rPr>
                <w:rFonts w:asciiTheme="majorHAnsi" w:hAnsiTheme="majorHAnsi" w:cstheme="majorHAnsi"/>
                <w:i/>
              </w:rPr>
              <w:t>Interact</w:t>
            </w:r>
            <w:r>
              <w:rPr>
                <w:rFonts w:asciiTheme="majorHAnsi" w:hAnsiTheme="majorHAnsi" w:cstheme="majorHAnsi"/>
              </w:rPr>
              <w:t xml:space="preserve"> 20</w:t>
            </w:r>
            <w:r w:rsidR="006B229B">
              <w:rPr>
                <w:rFonts w:asciiTheme="majorHAnsi" w:hAnsiTheme="majorHAnsi" w:cstheme="majorHAnsi"/>
              </w:rPr>
              <w:t>22</w:t>
            </w:r>
            <w:r>
              <w:rPr>
                <w:rFonts w:asciiTheme="majorHAnsi" w:hAnsiTheme="majorHAnsi" w:cstheme="majorHAnsi"/>
              </w:rPr>
              <w:t xml:space="preserve">. </w:t>
            </w:r>
            <w:r w:rsidR="006B229B">
              <w:rPr>
                <w:rFonts w:asciiTheme="majorHAnsi" w:hAnsiTheme="majorHAnsi" w:cstheme="majorHAnsi"/>
              </w:rPr>
              <w:t xml:space="preserve">Cardiff University </w:t>
            </w:r>
            <w:r>
              <w:rPr>
                <w:rFonts w:asciiTheme="majorHAnsi" w:hAnsiTheme="majorHAnsi" w:cstheme="majorHAnsi"/>
              </w:rPr>
              <w:t xml:space="preserve"> representatives are an integral part of the organising team and commit to the following expectations for the </w:t>
            </w:r>
            <w:r>
              <w:rPr>
                <w:rFonts w:asciiTheme="majorHAnsi" w:hAnsiTheme="majorHAnsi" w:cstheme="majorHAnsi"/>
                <w:i/>
              </w:rPr>
              <w:t xml:space="preserve">Interact </w:t>
            </w:r>
            <w:r>
              <w:rPr>
                <w:rFonts w:asciiTheme="majorHAnsi" w:hAnsiTheme="majorHAnsi" w:cstheme="majorHAnsi"/>
              </w:rPr>
              <w:t>20</w:t>
            </w:r>
            <w:r w:rsidR="006B229B">
              <w:rPr>
                <w:rFonts w:asciiTheme="majorHAnsi" w:hAnsiTheme="majorHAnsi" w:cstheme="majorHAnsi"/>
              </w:rPr>
              <w:t>22</w:t>
            </w:r>
            <w:r>
              <w:rPr>
                <w:rFonts w:asciiTheme="majorHAnsi" w:hAnsiTheme="majorHAnsi" w:cstheme="majorHAnsi"/>
              </w:rPr>
              <w:t xml:space="preserve"> venue:</w:t>
            </w:r>
          </w:p>
          <w:p w14:paraId="7FC35208" w14:textId="4A791C14" w:rsidR="00270CDB" w:rsidRPr="00270CDB" w:rsidRDefault="00270CDB" w:rsidP="00270CDB">
            <w:pPr>
              <w:pStyle w:val="ListParagraph"/>
              <w:numPr>
                <w:ilvl w:val="0"/>
                <w:numId w:val="19"/>
              </w:numPr>
              <w:spacing w:after="0" w:line="283" w:lineRule="auto"/>
              <w:rPr>
                <w:rFonts w:asciiTheme="majorHAnsi" w:hAnsiTheme="majorHAnsi" w:cstheme="majorHAnsi"/>
              </w:rPr>
            </w:pPr>
            <w:r w:rsidRPr="00270CDB">
              <w:rPr>
                <w:rFonts w:asciiTheme="majorHAnsi" w:hAnsiTheme="majorHAnsi" w:cstheme="majorHAnsi"/>
              </w:rPr>
              <w:t xml:space="preserve">The venue  selected </w:t>
            </w:r>
            <w:r w:rsidR="006B229B">
              <w:rPr>
                <w:rFonts w:asciiTheme="majorHAnsi" w:hAnsiTheme="majorHAnsi" w:cstheme="majorHAnsi"/>
              </w:rPr>
              <w:t xml:space="preserve"> is </w:t>
            </w:r>
            <w:r w:rsidRPr="00270CDB">
              <w:rPr>
                <w:rFonts w:asciiTheme="majorHAnsi" w:hAnsiTheme="majorHAnsi" w:cstheme="majorHAnsi"/>
              </w:rPr>
              <w:t>based on ease of accessibility</w:t>
            </w:r>
          </w:p>
          <w:p w14:paraId="032F0BCC" w14:textId="7B2469F4" w:rsidR="00270CDB" w:rsidRPr="00270CDB" w:rsidRDefault="00270CDB" w:rsidP="00270CDB">
            <w:pPr>
              <w:pStyle w:val="ListParagraph"/>
              <w:numPr>
                <w:ilvl w:val="0"/>
                <w:numId w:val="19"/>
              </w:numPr>
              <w:spacing w:after="0" w:line="283" w:lineRule="auto"/>
              <w:rPr>
                <w:rFonts w:asciiTheme="majorHAnsi" w:hAnsiTheme="majorHAnsi" w:cstheme="majorHAnsi"/>
              </w:rPr>
            </w:pPr>
            <w:r w:rsidRPr="00270CDB">
              <w:rPr>
                <w:rFonts w:asciiTheme="majorHAnsi" w:hAnsiTheme="majorHAnsi" w:cstheme="majorHAnsi"/>
              </w:rPr>
              <w:t>The location of the venue will not conflict with different cultures, religions or beliefs</w:t>
            </w:r>
          </w:p>
          <w:p w14:paraId="3EE45392" w14:textId="2A156F11" w:rsidR="00270CDB" w:rsidRPr="00270CDB" w:rsidRDefault="00270CDB" w:rsidP="00270CDB">
            <w:pPr>
              <w:pStyle w:val="ListParagraph"/>
              <w:numPr>
                <w:ilvl w:val="0"/>
                <w:numId w:val="19"/>
              </w:numPr>
              <w:spacing w:after="0" w:line="283" w:lineRule="auto"/>
              <w:rPr>
                <w:rFonts w:asciiTheme="majorHAnsi" w:hAnsiTheme="majorHAnsi" w:cstheme="majorHAnsi"/>
              </w:rPr>
            </w:pPr>
            <w:r w:rsidRPr="00270CDB">
              <w:rPr>
                <w:rFonts w:asciiTheme="majorHAnsi" w:hAnsiTheme="majorHAnsi" w:cstheme="majorHAnsi"/>
              </w:rPr>
              <w:t>The venue offer</w:t>
            </w:r>
            <w:r w:rsidR="006B229B">
              <w:rPr>
                <w:rFonts w:asciiTheme="majorHAnsi" w:hAnsiTheme="majorHAnsi" w:cstheme="majorHAnsi"/>
              </w:rPr>
              <w:t>s</w:t>
            </w:r>
            <w:r w:rsidRPr="00270CDB">
              <w:rPr>
                <w:rFonts w:asciiTheme="majorHAnsi" w:hAnsiTheme="majorHAnsi" w:cstheme="majorHAnsi"/>
              </w:rPr>
              <w:t xml:space="preserve"> a full range of sensory accessibility relating to visual and hearing impairments</w:t>
            </w:r>
          </w:p>
          <w:p w14:paraId="3559C83D" w14:textId="29A50418" w:rsidR="00CE252C" w:rsidRPr="00270CDB" w:rsidRDefault="00270CDB" w:rsidP="00270CDB">
            <w:pPr>
              <w:pStyle w:val="ListParagraph"/>
              <w:numPr>
                <w:ilvl w:val="0"/>
                <w:numId w:val="19"/>
              </w:numPr>
              <w:spacing w:after="0" w:line="283" w:lineRule="auto"/>
              <w:rPr>
                <w:rFonts w:asciiTheme="majorHAnsi" w:hAnsiTheme="majorHAnsi" w:cstheme="majorHAnsi"/>
                <w:u w:val="single"/>
              </w:rPr>
            </w:pPr>
            <w:r w:rsidRPr="00270CDB">
              <w:rPr>
                <w:rFonts w:asciiTheme="majorHAnsi" w:hAnsiTheme="majorHAnsi" w:cstheme="majorHAnsi"/>
              </w:rPr>
              <w:t xml:space="preserve">Venue catering </w:t>
            </w:r>
            <w:r w:rsidR="006B229B">
              <w:rPr>
                <w:rFonts w:asciiTheme="majorHAnsi" w:hAnsiTheme="majorHAnsi" w:cstheme="majorHAnsi"/>
              </w:rPr>
              <w:t xml:space="preserve">is </w:t>
            </w:r>
            <w:r w:rsidRPr="00270CDB">
              <w:rPr>
                <w:rFonts w:asciiTheme="majorHAnsi" w:hAnsiTheme="majorHAnsi" w:cstheme="majorHAnsi"/>
              </w:rPr>
              <w:t xml:space="preserve"> arranged with clear labelling and be appropriate to those who have specific cultural, religious, health or disability needs</w:t>
            </w:r>
          </w:p>
          <w:p w14:paraId="78C97164" w14:textId="77777777" w:rsidR="00270CDB" w:rsidRDefault="00270CDB" w:rsidP="00270CDB">
            <w:pPr>
              <w:spacing w:after="0" w:line="283" w:lineRule="auto"/>
              <w:rPr>
                <w:rFonts w:asciiTheme="majorHAnsi" w:hAnsiTheme="majorHAnsi" w:cstheme="majorHAnsi"/>
                <w:u w:val="single"/>
              </w:rPr>
            </w:pPr>
          </w:p>
          <w:p w14:paraId="3F2AC0C1" w14:textId="1F0EA3D7" w:rsidR="00270CDB" w:rsidRPr="00270CDB" w:rsidRDefault="00270CDB" w:rsidP="00270CDB">
            <w:pPr>
              <w:spacing w:after="0" w:line="283" w:lineRule="auto"/>
              <w:rPr>
                <w:rFonts w:asciiTheme="majorHAnsi" w:hAnsiTheme="majorHAnsi" w:cstheme="majorHAnsi"/>
              </w:rPr>
            </w:pPr>
            <w:r w:rsidRPr="00270CDB">
              <w:rPr>
                <w:rFonts w:asciiTheme="majorHAnsi" w:hAnsiTheme="majorHAnsi" w:cstheme="majorHAnsi"/>
              </w:rPr>
              <w:t xml:space="preserve">(1) </w:t>
            </w:r>
            <w:r>
              <w:rPr>
                <w:rFonts w:asciiTheme="majorHAnsi" w:hAnsiTheme="majorHAnsi" w:cstheme="majorHAnsi"/>
              </w:rPr>
              <w:t xml:space="preserve">See: </w:t>
            </w:r>
            <w:r w:rsidR="006B229B" w:rsidRPr="006B229B">
              <w:rPr>
                <w:rFonts w:asciiTheme="majorHAnsi" w:hAnsiTheme="majorHAnsi" w:cstheme="majorHAnsi"/>
              </w:rPr>
              <w:t>https://www.ukri.org/publications/interact-2019-evaluation-report/</w:t>
            </w:r>
          </w:p>
        </w:tc>
      </w:tr>
      <w:tr w:rsidR="00CE252C" w:rsidRPr="000861DF" w14:paraId="6EBFA50E" w14:textId="77777777" w:rsidTr="00F36AF2">
        <w:trPr>
          <w:trHeight w:val="397"/>
        </w:trPr>
        <w:tc>
          <w:tcPr>
            <w:tcW w:w="3681" w:type="dxa"/>
            <w:shd w:val="clear" w:color="auto" w:fill="B4C6E7" w:themeFill="accent5" w:themeFillTint="66"/>
          </w:tcPr>
          <w:p w14:paraId="11D35702" w14:textId="0F57D57E" w:rsidR="00CE252C" w:rsidRPr="000861DF" w:rsidRDefault="00CE252C" w:rsidP="00552ABC">
            <w:pPr>
              <w:pStyle w:val="ListParagraph"/>
              <w:numPr>
                <w:ilvl w:val="0"/>
                <w:numId w:val="1"/>
              </w:numPr>
              <w:spacing w:after="0" w:line="283" w:lineRule="auto"/>
              <w:contextualSpacing w:val="0"/>
              <w:rPr>
                <w:rFonts w:asciiTheme="minorHAnsi" w:hAnsiTheme="minorHAnsi" w:cs="Arial"/>
                <w:b/>
              </w:rPr>
            </w:pPr>
            <w:r w:rsidRPr="000861DF">
              <w:rPr>
                <w:rFonts w:asciiTheme="minorHAnsi" w:hAnsiTheme="minorHAnsi" w:cs="Arial"/>
                <w:b/>
              </w:rPr>
              <w:lastRenderedPageBreak/>
              <w:t>Who is affected by the policy/funding activity/event?</w:t>
            </w:r>
          </w:p>
        </w:tc>
        <w:tc>
          <w:tcPr>
            <w:tcW w:w="10348" w:type="dxa"/>
          </w:tcPr>
          <w:p w14:paraId="73BDB3A0" w14:textId="2F723FB4" w:rsidR="000861DF" w:rsidRPr="00270CDB" w:rsidRDefault="000861DF" w:rsidP="00552ABC">
            <w:pPr>
              <w:spacing w:after="0" w:line="283" w:lineRule="auto"/>
              <w:rPr>
                <w:rFonts w:asciiTheme="majorHAnsi" w:hAnsiTheme="majorHAnsi" w:cstheme="majorHAnsi"/>
              </w:rPr>
            </w:pPr>
            <w:r w:rsidRPr="00270CDB">
              <w:rPr>
                <w:rFonts w:asciiTheme="majorHAnsi" w:hAnsiTheme="majorHAnsi" w:cstheme="majorHAnsi"/>
              </w:rPr>
              <w:t xml:space="preserve">Anyone who is </w:t>
            </w:r>
            <w:r w:rsidR="00C44850" w:rsidRPr="00270CDB">
              <w:rPr>
                <w:rFonts w:asciiTheme="majorHAnsi" w:hAnsiTheme="majorHAnsi" w:cstheme="majorHAnsi"/>
              </w:rPr>
              <w:t xml:space="preserve">involved in </w:t>
            </w:r>
            <w:r w:rsidR="00552ABC" w:rsidRPr="00270CDB">
              <w:rPr>
                <w:rFonts w:asciiTheme="majorHAnsi" w:hAnsiTheme="majorHAnsi" w:cstheme="majorHAnsi"/>
              </w:rPr>
              <w:t xml:space="preserve">organising or attending the </w:t>
            </w:r>
            <w:r w:rsidR="00552ABC" w:rsidRPr="00270CDB">
              <w:rPr>
                <w:rFonts w:asciiTheme="majorHAnsi" w:hAnsiTheme="majorHAnsi" w:cstheme="majorHAnsi"/>
                <w:i/>
              </w:rPr>
              <w:t>Interact</w:t>
            </w:r>
            <w:r w:rsidR="00552ABC" w:rsidRPr="00270CDB">
              <w:rPr>
                <w:rFonts w:asciiTheme="majorHAnsi" w:hAnsiTheme="majorHAnsi" w:cstheme="majorHAnsi"/>
              </w:rPr>
              <w:t xml:space="preserve"> 20</w:t>
            </w:r>
            <w:r w:rsidR="003209E4">
              <w:rPr>
                <w:rFonts w:asciiTheme="majorHAnsi" w:hAnsiTheme="majorHAnsi" w:cstheme="majorHAnsi"/>
              </w:rPr>
              <w:t>22</w:t>
            </w:r>
            <w:r w:rsidR="00552ABC" w:rsidRPr="00270CDB">
              <w:rPr>
                <w:rFonts w:asciiTheme="majorHAnsi" w:hAnsiTheme="majorHAnsi" w:cstheme="majorHAnsi"/>
              </w:rPr>
              <w:t xml:space="preserve"> symposium</w:t>
            </w:r>
            <w:r w:rsidR="00270CDB">
              <w:rPr>
                <w:rFonts w:asciiTheme="majorHAnsi" w:hAnsiTheme="majorHAnsi" w:cstheme="majorHAnsi"/>
              </w:rPr>
              <w:t>.</w:t>
            </w:r>
          </w:p>
          <w:p w14:paraId="4FA10167" w14:textId="77777777" w:rsidR="00CE252C" w:rsidRPr="000861DF" w:rsidRDefault="00CE252C" w:rsidP="00552ABC">
            <w:pPr>
              <w:spacing w:after="0" w:line="283" w:lineRule="auto"/>
              <w:rPr>
                <w:rFonts w:cs="Arial"/>
              </w:rPr>
            </w:pPr>
          </w:p>
        </w:tc>
      </w:tr>
      <w:tr w:rsidR="00CE252C" w:rsidRPr="000861DF" w14:paraId="26C8E5DD" w14:textId="77777777" w:rsidTr="00F36AF2">
        <w:trPr>
          <w:trHeight w:val="397"/>
        </w:trPr>
        <w:tc>
          <w:tcPr>
            <w:tcW w:w="3681" w:type="dxa"/>
            <w:shd w:val="clear" w:color="auto" w:fill="B4C6E7" w:themeFill="accent5" w:themeFillTint="66"/>
          </w:tcPr>
          <w:p w14:paraId="492C05B8" w14:textId="77777777" w:rsidR="00CE252C" w:rsidRPr="000861DF" w:rsidRDefault="00CE252C" w:rsidP="00552ABC">
            <w:pPr>
              <w:pStyle w:val="ListParagraph"/>
              <w:numPr>
                <w:ilvl w:val="0"/>
                <w:numId w:val="1"/>
              </w:numPr>
              <w:spacing w:after="0" w:line="283" w:lineRule="auto"/>
              <w:contextualSpacing w:val="0"/>
              <w:rPr>
                <w:rFonts w:asciiTheme="minorHAnsi" w:hAnsiTheme="minorHAnsi" w:cs="Arial"/>
                <w:b/>
              </w:rPr>
            </w:pPr>
            <w:r w:rsidRPr="000861DF">
              <w:rPr>
                <w:rFonts w:asciiTheme="minorHAnsi" w:hAnsiTheme="minorHAnsi" w:cs="Arial"/>
                <w:b/>
              </w:rPr>
              <w:t>What are the arrangements for monitoring and reviewing the actual impact of the policy/funding activity/event?</w:t>
            </w:r>
          </w:p>
        </w:tc>
        <w:tc>
          <w:tcPr>
            <w:tcW w:w="10348" w:type="dxa"/>
          </w:tcPr>
          <w:p w14:paraId="1E1EB6DF" w14:textId="7C3E054B" w:rsidR="00270CDB" w:rsidRDefault="00270CDB" w:rsidP="00552ABC">
            <w:pPr>
              <w:spacing w:after="0" w:line="283" w:lineRule="auto"/>
              <w:ind w:left="34"/>
              <w:rPr>
                <w:rFonts w:asciiTheme="majorHAnsi" w:hAnsiTheme="majorHAnsi" w:cstheme="majorHAnsi"/>
              </w:rPr>
            </w:pPr>
            <w:r w:rsidRPr="00270CDB">
              <w:rPr>
                <w:rFonts w:asciiTheme="majorHAnsi" w:hAnsiTheme="majorHAnsi" w:cstheme="majorHAnsi"/>
              </w:rPr>
              <w:t xml:space="preserve">Following the model adopted by </w:t>
            </w:r>
            <w:r w:rsidRPr="00270CDB">
              <w:rPr>
                <w:rFonts w:asciiTheme="majorHAnsi" w:hAnsiTheme="majorHAnsi" w:cstheme="majorHAnsi"/>
                <w:i/>
              </w:rPr>
              <w:t>Interact</w:t>
            </w:r>
            <w:r w:rsidRPr="00270CDB">
              <w:rPr>
                <w:rFonts w:asciiTheme="majorHAnsi" w:hAnsiTheme="majorHAnsi" w:cstheme="majorHAnsi"/>
              </w:rPr>
              <w:t xml:space="preserve"> 201</w:t>
            </w:r>
            <w:r w:rsidR="003209E4">
              <w:rPr>
                <w:rFonts w:asciiTheme="majorHAnsi" w:hAnsiTheme="majorHAnsi" w:cstheme="majorHAnsi"/>
              </w:rPr>
              <w:t>9</w:t>
            </w:r>
            <w:r w:rsidRPr="00270CDB">
              <w:rPr>
                <w:rFonts w:asciiTheme="majorHAnsi" w:hAnsiTheme="majorHAnsi" w:cstheme="majorHAnsi"/>
              </w:rPr>
              <w:t>, the symposium will be evaluated via the gathering of quantitative and qualitative participant feedback, both immediately after the symposium, and with a subsequent</w:t>
            </w:r>
            <w:r>
              <w:rPr>
                <w:rFonts w:asciiTheme="majorHAnsi" w:hAnsiTheme="majorHAnsi" w:cstheme="majorHAnsi"/>
              </w:rPr>
              <w:t xml:space="preserve"> follow-on</w:t>
            </w:r>
            <w:r w:rsidRPr="00270CDB">
              <w:rPr>
                <w:rFonts w:asciiTheme="majorHAnsi" w:hAnsiTheme="majorHAnsi" w:cstheme="majorHAnsi"/>
              </w:rPr>
              <w:t xml:space="preserve"> survey </w:t>
            </w:r>
            <w:r>
              <w:rPr>
                <w:rFonts w:asciiTheme="majorHAnsi" w:hAnsiTheme="majorHAnsi" w:cstheme="majorHAnsi"/>
              </w:rPr>
              <w:t>twelve</w:t>
            </w:r>
            <w:r w:rsidRPr="00270CDB">
              <w:rPr>
                <w:rFonts w:asciiTheme="majorHAnsi" w:hAnsiTheme="majorHAnsi" w:cstheme="majorHAnsi"/>
              </w:rPr>
              <w:t xml:space="preserve"> months after the event. </w:t>
            </w:r>
            <w:r>
              <w:rPr>
                <w:rFonts w:asciiTheme="majorHAnsi" w:hAnsiTheme="majorHAnsi" w:cstheme="majorHAnsi"/>
              </w:rPr>
              <w:t>These evaluations will include participants’ and organisers’ feedback on matters of equality, diversity and inclusion.</w:t>
            </w:r>
          </w:p>
          <w:p w14:paraId="2C586E33" w14:textId="77777777" w:rsidR="00C566CC" w:rsidRDefault="00C566CC" w:rsidP="00552ABC">
            <w:pPr>
              <w:spacing w:after="0" w:line="283" w:lineRule="auto"/>
              <w:ind w:left="34"/>
              <w:rPr>
                <w:rFonts w:asciiTheme="majorHAnsi" w:hAnsiTheme="majorHAnsi" w:cstheme="majorHAnsi"/>
              </w:rPr>
            </w:pPr>
          </w:p>
          <w:p w14:paraId="07DF90F6" w14:textId="59172D56" w:rsidR="00CE252C" w:rsidRPr="00C566CC" w:rsidRDefault="00C566CC" w:rsidP="00C566CC">
            <w:pPr>
              <w:spacing w:after="0" w:line="283" w:lineRule="auto"/>
              <w:ind w:left="34"/>
              <w:rPr>
                <w:rFonts w:asciiTheme="majorHAnsi" w:hAnsiTheme="majorHAnsi" w:cstheme="majorHAnsi"/>
              </w:rPr>
            </w:pPr>
            <w:r>
              <w:rPr>
                <w:rFonts w:asciiTheme="majorHAnsi" w:hAnsiTheme="majorHAnsi" w:cstheme="majorHAnsi"/>
              </w:rPr>
              <w:lastRenderedPageBreak/>
              <w:t xml:space="preserve">The results of the </w:t>
            </w:r>
            <w:r>
              <w:rPr>
                <w:rFonts w:asciiTheme="majorHAnsi" w:hAnsiTheme="majorHAnsi" w:cstheme="majorHAnsi"/>
                <w:i/>
              </w:rPr>
              <w:t xml:space="preserve">Interact </w:t>
            </w:r>
            <w:r>
              <w:rPr>
                <w:rFonts w:asciiTheme="majorHAnsi" w:hAnsiTheme="majorHAnsi" w:cstheme="majorHAnsi"/>
              </w:rPr>
              <w:t>2019</w:t>
            </w:r>
            <w:r w:rsidR="003209E4">
              <w:rPr>
                <w:rFonts w:asciiTheme="majorHAnsi" w:hAnsiTheme="majorHAnsi" w:cstheme="majorHAnsi"/>
              </w:rPr>
              <w:t xml:space="preserve"> and 2022 </w:t>
            </w:r>
            <w:r>
              <w:rPr>
                <w:rFonts w:asciiTheme="majorHAnsi" w:hAnsiTheme="majorHAnsi" w:cstheme="majorHAnsi"/>
              </w:rPr>
              <w:t xml:space="preserve"> evaluation surveys will be made available on the websites of </w:t>
            </w:r>
            <w:r w:rsidR="003209E4">
              <w:rPr>
                <w:rFonts w:asciiTheme="majorHAnsi" w:hAnsiTheme="majorHAnsi" w:cstheme="majorHAnsi"/>
              </w:rPr>
              <w:t xml:space="preserve">UKRI </w:t>
            </w:r>
            <w:r>
              <w:rPr>
                <w:rFonts w:asciiTheme="majorHAnsi" w:hAnsiTheme="majorHAnsi" w:cstheme="majorHAnsi"/>
              </w:rPr>
              <w:t>and other partner organisations at suitable points in time after the data has been collected and analysed by the organising partners and host institution.</w:t>
            </w:r>
            <w:r w:rsidR="00CE252C" w:rsidRPr="000861DF">
              <w:rPr>
                <w:rFonts w:cs="Arial"/>
              </w:rPr>
              <w:t xml:space="preserve"> </w:t>
            </w:r>
          </w:p>
        </w:tc>
      </w:tr>
    </w:tbl>
    <w:p w14:paraId="0427277B" w14:textId="77777777" w:rsidR="00CE252C" w:rsidRPr="000861DF" w:rsidRDefault="00CE252C" w:rsidP="00552ABC">
      <w:pPr>
        <w:spacing w:after="0" w:line="283" w:lineRule="auto"/>
        <w:rPr>
          <w:rFonts w:cs="Arial"/>
          <w:b/>
          <w:color w:val="000000" w:themeColor="text1"/>
        </w:rPr>
      </w:pPr>
    </w:p>
    <w:tbl>
      <w:tblPr>
        <w:tblStyle w:val="TableGrid"/>
        <w:tblW w:w="14029" w:type="dxa"/>
        <w:tblCellMar>
          <w:top w:w="57" w:type="dxa"/>
          <w:left w:w="57" w:type="dxa"/>
          <w:bottom w:w="57" w:type="dxa"/>
          <w:right w:w="57" w:type="dxa"/>
        </w:tblCellMar>
        <w:tblLook w:val="04A0" w:firstRow="1" w:lastRow="0" w:firstColumn="1" w:lastColumn="0" w:noHBand="0" w:noVBand="1"/>
      </w:tblPr>
      <w:tblGrid>
        <w:gridCol w:w="2310"/>
        <w:gridCol w:w="1716"/>
        <w:gridCol w:w="4111"/>
        <w:gridCol w:w="5892"/>
      </w:tblGrid>
      <w:tr w:rsidR="00CE252C" w:rsidRPr="000861DF" w14:paraId="410D3194" w14:textId="77777777" w:rsidTr="00F36AF2">
        <w:tc>
          <w:tcPr>
            <w:tcW w:w="2310" w:type="dxa"/>
            <w:shd w:val="clear" w:color="auto" w:fill="002060"/>
          </w:tcPr>
          <w:p w14:paraId="6D224524" w14:textId="77777777" w:rsidR="00CE252C" w:rsidRPr="00F36AF2" w:rsidRDefault="00CE252C" w:rsidP="00552ABC">
            <w:pPr>
              <w:spacing w:after="0" w:line="283" w:lineRule="auto"/>
              <w:rPr>
                <w:rFonts w:cs="Arial"/>
                <w:b/>
                <w:color w:val="FFFFFF" w:themeColor="background1"/>
              </w:rPr>
            </w:pPr>
            <w:r w:rsidRPr="00F36AF2">
              <w:rPr>
                <w:rFonts w:cs="Arial"/>
                <w:b/>
                <w:color w:val="FFFFFF" w:themeColor="background1"/>
              </w:rPr>
              <w:t xml:space="preserve">Group </w:t>
            </w:r>
          </w:p>
        </w:tc>
        <w:tc>
          <w:tcPr>
            <w:tcW w:w="1716" w:type="dxa"/>
            <w:shd w:val="clear" w:color="auto" w:fill="002060"/>
          </w:tcPr>
          <w:p w14:paraId="56C35D67" w14:textId="77777777" w:rsidR="00CE252C" w:rsidRPr="00F36AF2" w:rsidRDefault="00CA6878" w:rsidP="00552ABC">
            <w:pPr>
              <w:spacing w:after="0" w:line="283" w:lineRule="auto"/>
              <w:rPr>
                <w:rFonts w:cs="Arial"/>
                <w:b/>
                <w:color w:val="FFFFFF" w:themeColor="background1"/>
                <w:sz w:val="18"/>
                <w:szCs w:val="18"/>
              </w:rPr>
            </w:pPr>
            <w:r w:rsidRPr="00F36AF2">
              <w:rPr>
                <w:rFonts w:cs="Arial"/>
                <w:b/>
                <w:color w:val="FFFFFF" w:themeColor="background1"/>
                <w:sz w:val="18"/>
                <w:szCs w:val="18"/>
              </w:rPr>
              <w:t>P</w:t>
            </w:r>
            <w:r w:rsidR="00CE252C" w:rsidRPr="00F36AF2">
              <w:rPr>
                <w:rFonts w:cs="Arial"/>
                <w:b/>
                <w:color w:val="FFFFFF" w:themeColor="background1"/>
                <w:sz w:val="18"/>
                <w:szCs w:val="18"/>
              </w:rPr>
              <w:t>otential for positive or negative impact?</w:t>
            </w:r>
          </w:p>
        </w:tc>
        <w:tc>
          <w:tcPr>
            <w:tcW w:w="4111" w:type="dxa"/>
            <w:shd w:val="clear" w:color="auto" w:fill="002060"/>
          </w:tcPr>
          <w:p w14:paraId="1FE324D7" w14:textId="77777777" w:rsidR="00CE252C" w:rsidRPr="00F36AF2" w:rsidRDefault="00CA6878" w:rsidP="00552ABC">
            <w:pPr>
              <w:spacing w:after="0" w:line="283" w:lineRule="auto"/>
              <w:rPr>
                <w:rFonts w:cs="Arial"/>
                <w:b/>
                <w:color w:val="FFFFFF" w:themeColor="background1"/>
                <w:sz w:val="18"/>
                <w:szCs w:val="18"/>
              </w:rPr>
            </w:pPr>
            <w:r w:rsidRPr="00F36AF2">
              <w:rPr>
                <w:rFonts w:cs="Arial"/>
                <w:b/>
                <w:color w:val="FFFFFF" w:themeColor="background1"/>
                <w:sz w:val="18"/>
                <w:szCs w:val="18"/>
              </w:rPr>
              <w:t>E</w:t>
            </w:r>
            <w:r w:rsidR="00CE252C" w:rsidRPr="00F36AF2">
              <w:rPr>
                <w:rFonts w:cs="Arial"/>
                <w:b/>
                <w:color w:val="FFFFFF" w:themeColor="background1"/>
                <w:sz w:val="18"/>
                <w:szCs w:val="18"/>
              </w:rPr>
              <w:t>xamples of any evidence/data used</w:t>
            </w:r>
          </w:p>
        </w:tc>
        <w:tc>
          <w:tcPr>
            <w:tcW w:w="5892" w:type="dxa"/>
            <w:shd w:val="clear" w:color="auto" w:fill="002060"/>
          </w:tcPr>
          <w:p w14:paraId="68091F93" w14:textId="77777777" w:rsidR="00CE252C" w:rsidRPr="00F36AF2" w:rsidRDefault="00CE252C" w:rsidP="00552ABC">
            <w:pPr>
              <w:spacing w:after="0" w:line="283" w:lineRule="auto"/>
              <w:rPr>
                <w:rFonts w:cs="Arial"/>
                <w:b/>
                <w:color w:val="FFFFFF" w:themeColor="background1"/>
                <w:sz w:val="18"/>
                <w:szCs w:val="18"/>
              </w:rPr>
            </w:pPr>
            <w:r w:rsidRPr="00F36AF2">
              <w:rPr>
                <w:rFonts w:cs="Arial"/>
                <w:b/>
                <w:color w:val="FFFFFF" w:themeColor="background1"/>
                <w:sz w:val="18"/>
                <w:szCs w:val="18"/>
              </w:rPr>
              <w:t>Action to address negative impact (e.g. adjustment to the policy)</w:t>
            </w:r>
          </w:p>
        </w:tc>
      </w:tr>
      <w:tr w:rsidR="004C2FA4" w:rsidRPr="000861DF" w14:paraId="1EBD0B85" w14:textId="77777777" w:rsidTr="00F36AF2">
        <w:trPr>
          <w:trHeight w:val="331"/>
        </w:trPr>
        <w:tc>
          <w:tcPr>
            <w:tcW w:w="2310" w:type="dxa"/>
            <w:shd w:val="clear" w:color="auto" w:fill="B4C6E7" w:themeFill="accent5" w:themeFillTint="66"/>
          </w:tcPr>
          <w:p w14:paraId="3233D92D" w14:textId="77777777" w:rsidR="004C2FA4" w:rsidRPr="000861DF" w:rsidRDefault="004C2FA4" w:rsidP="00552ABC">
            <w:pPr>
              <w:spacing w:after="0" w:line="283" w:lineRule="auto"/>
              <w:rPr>
                <w:rFonts w:cs="Arial"/>
                <w:b/>
                <w:color w:val="000000" w:themeColor="text1"/>
              </w:rPr>
            </w:pPr>
            <w:r w:rsidRPr="000861DF">
              <w:rPr>
                <w:rFonts w:cs="Arial"/>
                <w:b/>
                <w:color w:val="000000" w:themeColor="text1"/>
              </w:rPr>
              <w:t>Disability</w:t>
            </w:r>
          </w:p>
        </w:tc>
        <w:tc>
          <w:tcPr>
            <w:tcW w:w="1716" w:type="dxa"/>
          </w:tcPr>
          <w:p w14:paraId="0A1F6818" w14:textId="6773896A" w:rsidR="004C2FA4" w:rsidRPr="00F36AF2" w:rsidRDefault="00CA6878"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w:t>
            </w:r>
            <w:r w:rsidR="00DF7C45" w:rsidRPr="00F36AF2">
              <w:rPr>
                <w:rFonts w:asciiTheme="majorHAnsi" w:hAnsiTheme="majorHAnsi" w:cstheme="majorHAnsi"/>
                <w:sz w:val="16"/>
                <w:szCs w:val="16"/>
              </w:rPr>
              <w:t>potential n</w:t>
            </w:r>
            <w:r w:rsidR="004C2FA4" w:rsidRPr="00F36AF2">
              <w:rPr>
                <w:rFonts w:asciiTheme="majorHAnsi" w:hAnsiTheme="majorHAnsi" w:cstheme="majorHAnsi"/>
                <w:sz w:val="16"/>
                <w:szCs w:val="16"/>
              </w:rPr>
              <w:t>egative</w:t>
            </w:r>
            <w:r w:rsidR="00DF7C45" w:rsidRPr="00F36AF2">
              <w:rPr>
                <w:rFonts w:asciiTheme="majorHAnsi" w:hAnsiTheme="majorHAnsi" w:cstheme="majorHAnsi"/>
                <w:sz w:val="16"/>
                <w:szCs w:val="16"/>
              </w:rPr>
              <w:t xml:space="preserve"> i</w:t>
            </w:r>
            <w:r w:rsidRPr="00F36AF2">
              <w:rPr>
                <w:rFonts w:asciiTheme="majorHAnsi" w:hAnsiTheme="majorHAnsi" w:cstheme="majorHAnsi"/>
                <w:sz w:val="16"/>
                <w:szCs w:val="16"/>
              </w:rPr>
              <w:t>mpact</w:t>
            </w:r>
          </w:p>
          <w:p w14:paraId="71E924E7" w14:textId="77777777" w:rsidR="004C2FA4" w:rsidRPr="00F36AF2" w:rsidRDefault="004C2FA4" w:rsidP="00552ABC">
            <w:pPr>
              <w:spacing w:after="0" w:line="283" w:lineRule="auto"/>
              <w:rPr>
                <w:rFonts w:asciiTheme="majorHAnsi" w:hAnsiTheme="majorHAnsi" w:cstheme="majorHAnsi"/>
                <w:sz w:val="16"/>
                <w:szCs w:val="16"/>
              </w:rPr>
            </w:pPr>
          </w:p>
        </w:tc>
        <w:tc>
          <w:tcPr>
            <w:tcW w:w="4111" w:type="dxa"/>
          </w:tcPr>
          <w:p w14:paraId="37A9A52D" w14:textId="57636354" w:rsidR="00CA6878" w:rsidRPr="00F36AF2" w:rsidRDefault="00C566C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Symposium attendees</w:t>
            </w:r>
            <w:r w:rsidR="00CA6878" w:rsidRPr="00F36AF2">
              <w:rPr>
                <w:rFonts w:asciiTheme="majorHAnsi" w:hAnsiTheme="majorHAnsi" w:cstheme="majorHAnsi"/>
                <w:sz w:val="16"/>
                <w:szCs w:val="16"/>
              </w:rPr>
              <w:t xml:space="preserve"> with visual disabilities or impairments may find it difficult to access venues.</w:t>
            </w:r>
          </w:p>
          <w:p w14:paraId="02328632" w14:textId="77777777" w:rsidR="00135759" w:rsidRPr="00F36AF2" w:rsidRDefault="00135759" w:rsidP="00552ABC">
            <w:pPr>
              <w:spacing w:after="0" w:line="283" w:lineRule="auto"/>
              <w:rPr>
                <w:rFonts w:asciiTheme="majorHAnsi" w:hAnsiTheme="majorHAnsi" w:cstheme="majorHAnsi"/>
                <w:sz w:val="16"/>
                <w:szCs w:val="16"/>
              </w:rPr>
            </w:pPr>
          </w:p>
          <w:p w14:paraId="4C9D49BF" w14:textId="77777777" w:rsidR="00C566CC" w:rsidRPr="00F36AF2" w:rsidRDefault="00C566CC" w:rsidP="00552ABC">
            <w:pPr>
              <w:spacing w:after="0" w:line="283" w:lineRule="auto"/>
              <w:rPr>
                <w:rFonts w:asciiTheme="majorHAnsi" w:hAnsiTheme="majorHAnsi" w:cstheme="majorHAnsi"/>
                <w:sz w:val="16"/>
                <w:szCs w:val="16"/>
              </w:rPr>
            </w:pPr>
          </w:p>
          <w:p w14:paraId="6752CD48" w14:textId="1442FDCB" w:rsidR="00CA6878" w:rsidRPr="00F36AF2" w:rsidRDefault="00C566C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Symposium attendees</w:t>
            </w:r>
            <w:r w:rsidR="00CA6878" w:rsidRPr="00F36AF2">
              <w:rPr>
                <w:rFonts w:asciiTheme="majorHAnsi" w:hAnsiTheme="majorHAnsi" w:cstheme="majorHAnsi"/>
                <w:sz w:val="16"/>
                <w:szCs w:val="16"/>
              </w:rPr>
              <w:t xml:space="preserve"> with mobility disabilities may face difficulties in attending the </w:t>
            </w:r>
            <w:r w:rsidR="00135759" w:rsidRPr="00F36AF2">
              <w:rPr>
                <w:rFonts w:asciiTheme="majorHAnsi" w:hAnsiTheme="majorHAnsi" w:cstheme="majorHAnsi"/>
                <w:sz w:val="16"/>
                <w:szCs w:val="16"/>
              </w:rPr>
              <w:t>events</w:t>
            </w:r>
            <w:r w:rsidR="00CA6878" w:rsidRPr="00F36AF2">
              <w:rPr>
                <w:rFonts w:asciiTheme="majorHAnsi" w:hAnsiTheme="majorHAnsi" w:cstheme="majorHAnsi"/>
                <w:sz w:val="16"/>
                <w:szCs w:val="16"/>
              </w:rPr>
              <w:t xml:space="preserve">. </w:t>
            </w:r>
          </w:p>
          <w:p w14:paraId="6E9A27EF" w14:textId="77777777" w:rsidR="00CA6878" w:rsidRPr="00F36AF2" w:rsidRDefault="00CA6878" w:rsidP="00552ABC">
            <w:pPr>
              <w:spacing w:after="0" w:line="283" w:lineRule="auto"/>
              <w:rPr>
                <w:rFonts w:asciiTheme="majorHAnsi" w:hAnsiTheme="majorHAnsi" w:cstheme="majorHAnsi"/>
                <w:sz w:val="16"/>
                <w:szCs w:val="16"/>
              </w:rPr>
            </w:pPr>
          </w:p>
          <w:p w14:paraId="52995703" w14:textId="77777777" w:rsidR="00C566CC" w:rsidRPr="00F36AF2" w:rsidRDefault="00C566CC" w:rsidP="00552ABC">
            <w:pPr>
              <w:spacing w:after="0" w:line="283" w:lineRule="auto"/>
              <w:rPr>
                <w:rFonts w:asciiTheme="majorHAnsi" w:hAnsiTheme="majorHAnsi" w:cstheme="majorHAnsi"/>
                <w:sz w:val="16"/>
                <w:szCs w:val="16"/>
              </w:rPr>
            </w:pPr>
          </w:p>
          <w:p w14:paraId="2AFAF86E" w14:textId="6CCB6973" w:rsidR="001B58BC" w:rsidRPr="00F36AF2" w:rsidRDefault="00C566C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Symposium attendees </w:t>
            </w:r>
            <w:r w:rsidR="00CA6878" w:rsidRPr="00F36AF2">
              <w:rPr>
                <w:rFonts w:asciiTheme="majorHAnsi" w:hAnsiTheme="majorHAnsi" w:cstheme="majorHAnsi"/>
                <w:sz w:val="16"/>
                <w:szCs w:val="16"/>
              </w:rPr>
              <w:t xml:space="preserve">with hearing difficulties may find it hard to engage in </w:t>
            </w:r>
            <w:r w:rsidR="00135759" w:rsidRPr="00F36AF2">
              <w:rPr>
                <w:rFonts w:asciiTheme="majorHAnsi" w:hAnsiTheme="majorHAnsi" w:cstheme="majorHAnsi"/>
                <w:sz w:val="16"/>
                <w:szCs w:val="16"/>
              </w:rPr>
              <w:t>events</w:t>
            </w:r>
            <w:r w:rsidR="00CA6878" w:rsidRPr="00F36AF2">
              <w:rPr>
                <w:rFonts w:asciiTheme="majorHAnsi" w:hAnsiTheme="majorHAnsi" w:cstheme="majorHAnsi"/>
                <w:sz w:val="16"/>
                <w:szCs w:val="16"/>
              </w:rPr>
              <w:t xml:space="preserve">. </w:t>
            </w:r>
          </w:p>
          <w:p w14:paraId="7919707F" w14:textId="77777777" w:rsidR="001B58BC" w:rsidRPr="00F36AF2" w:rsidRDefault="001B58BC" w:rsidP="00552ABC">
            <w:pPr>
              <w:spacing w:after="0" w:line="283" w:lineRule="auto"/>
              <w:rPr>
                <w:rFonts w:asciiTheme="majorHAnsi" w:hAnsiTheme="majorHAnsi" w:cstheme="majorHAnsi"/>
                <w:sz w:val="16"/>
                <w:szCs w:val="16"/>
              </w:rPr>
            </w:pPr>
          </w:p>
          <w:p w14:paraId="5FFD9E7D" w14:textId="77777777" w:rsidR="001B58BC" w:rsidRPr="00F36AF2" w:rsidRDefault="001B58BC" w:rsidP="00552ABC">
            <w:pPr>
              <w:spacing w:after="0" w:line="283" w:lineRule="auto"/>
              <w:rPr>
                <w:rFonts w:asciiTheme="majorHAnsi" w:hAnsiTheme="majorHAnsi" w:cstheme="majorHAnsi"/>
                <w:sz w:val="16"/>
                <w:szCs w:val="16"/>
              </w:rPr>
            </w:pPr>
          </w:p>
          <w:p w14:paraId="242C8FA6" w14:textId="2D294E8F" w:rsidR="004C2FA4" w:rsidRPr="00F36AF2" w:rsidRDefault="00C566CC" w:rsidP="00C566C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Symposium attendees </w:t>
            </w:r>
            <w:r w:rsidR="00CA6878" w:rsidRPr="00F36AF2">
              <w:rPr>
                <w:rFonts w:asciiTheme="majorHAnsi" w:hAnsiTheme="majorHAnsi" w:cstheme="majorHAnsi"/>
                <w:sz w:val="16"/>
                <w:szCs w:val="16"/>
              </w:rPr>
              <w:t xml:space="preserve">with neuro-disabilities may experience difficulties with concentration during </w:t>
            </w:r>
            <w:r w:rsidR="00135759" w:rsidRPr="00F36AF2">
              <w:rPr>
                <w:rFonts w:asciiTheme="majorHAnsi" w:hAnsiTheme="majorHAnsi" w:cstheme="majorHAnsi"/>
                <w:sz w:val="16"/>
                <w:szCs w:val="16"/>
              </w:rPr>
              <w:t>events</w:t>
            </w:r>
            <w:r w:rsidR="00CA6878" w:rsidRPr="00F36AF2">
              <w:rPr>
                <w:rFonts w:asciiTheme="majorHAnsi" w:hAnsiTheme="majorHAnsi" w:cstheme="majorHAnsi"/>
                <w:sz w:val="16"/>
                <w:szCs w:val="16"/>
              </w:rPr>
              <w:t>.</w:t>
            </w:r>
          </w:p>
        </w:tc>
        <w:tc>
          <w:tcPr>
            <w:tcW w:w="5892" w:type="dxa"/>
          </w:tcPr>
          <w:p w14:paraId="09D930D5" w14:textId="50C7DF3E" w:rsidR="00135759" w:rsidRPr="00F36AF2" w:rsidRDefault="00135759" w:rsidP="00552ABC">
            <w:pPr>
              <w:pStyle w:val="NormalWeb"/>
              <w:spacing w:before="0" w:beforeAutospacing="0" w:after="0" w:afterAutospacing="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w:t>
            </w:r>
            <w:r w:rsidR="00C566CC" w:rsidRPr="00F36AF2">
              <w:rPr>
                <w:rFonts w:asciiTheme="majorHAnsi" w:hAnsiTheme="majorHAnsi" w:cstheme="majorHAnsi"/>
                <w:sz w:val="16"/>
                <w:szCs w:val="16"/>
              </w:rPr>
              <w:t>organising partners and host institution</w:t>
            </w:r>
            <w:r w:rsidR="00CA6878" w:rsidRPr="00F36AF2">
              <w:rPr>
                <w:rFonts w:asciiTheme="majorHAnsi" w:hAnsiTheme="majorHAnsi" w:cstheme="majorHAnsi"/>
                <w:sz w:val="16"/>
                <w:szCs w:val="16"/>
              </w:rPr>
              <w:t xml:space="preserve"> will </w:t>
            </w:r>
            <w:r w:rsidR="00C566CC" w:rsidRPr="00F36AF2">
              <w:rPr>
                <w:rFonts w:asciiTheme="majorHAnsi" w:hAnsiTheme="majorHAnsi" w:cstheme="majorHAnsi"/>
                <w:sz w:val="16"/>
                <w:szCs w:val="16"/>
              </w:rPr>
              <w:t xml:space="preserve">take all reasonable steps to ensure </w:t>
            </w:r>
            <w:r w:rsidRPr="00F36AF2">
              <w:rPr>
                <w:rFonts w:asciiTheme="majorHAnsi" w:hAnsiTheme="majorHAnsi" w:cstheme="majorHAnsi"/>
                <w:sz w:val="16"/>
                <w:szCs w:val="16"/>
              </w:rPr>
              <w:t>that the venues selected have full sensory accessibility relating to visual and hearing impairments.</w:t>
            </w:r>
          </w:p>
          <w:p w14:paraId="35A3165A" w14:textId="77777777" w:rsidR="00C566CC" w:rsidRPr="00F36AF2" w:rsidRDefault="00C566CC" w:rsidP="00552ABC">
            <w:pPr>
              <w:pStyle w:val="NormalWeb"/>
              <w:spacing w:before="0" w:beforeAutospacing="0" w:after="0" w:afterAutospacing="0" w:line="283" w:lineRule="auto"/>
              <w:rPr>
                <w:rFonts w:asciiTheme="majorHAnsi" w:hAnsiTheme="majorHAnsi" w:cstheme="majorHAnsi"/>
                <w:sz w:val="16"/>
                <w:szCs w:val="16"/>
              </w:rPr>
            </w:pPr>
          </w:p>
          <w:p w14:paraId="7C694943" w14:textId="717597CD" w:rsidR="004C2FA4" w:rsidRPr="00F36AF2" w:rsidRDefault="00C566CC" w:rsidP="00C566CC">
            <w:pPr>
              <w:pStyle w:val="NormalWeb"/>
              <w:spacing w:before="0" w:beforeAutospacing="0" w:after="0" w:afterAutospacing="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 and host institution will take all reasonable steps</w:t>
            </w:r>
            <w:r w:rsidR="00135759" w:rsidRPr="00F36AF2">
              <w:rPr>
                <w:rFonts w:asciiTheme="majorHAnsi" w:hAnsiTheme="majorHAnsi" w:cstheme="majorHAnsi"/>
                <w:sz w:val="16"/>
                <w:szCs w:val="16"/>
              </w:rPr>
              <w:t xml:space="preserve"> to ensure that the venues selected have full accessibility relating to mobility disabilities.</w:t>
            </w:r>
            <w:r w:rsidRPr="00F36AF2">
              <w:rPr>
                <w:rFonts w:asciiTheme="majorHAnsi" w:hAnsiTheme="majorHAnsi" w:cstheme="majorHAnsi"/>
                <w:sz w:val="16"/>
                <w:szCs w:val="16"/>
              </w:rPr>
              <w:t xml:space="preserve"> </w:t>
            </w:r>
            <w:r w:rsidR="00135759" w:rsidRPr="00F36AF2">
              <w:rPr>
                <w:rFonts w:asciiTheme="majorHAnsi" w:hAnsiTheme="majorHAnsi" w:cstheme="majorHAnsi"/>
                <w:sz w:val="16"/>
                <w:szCs w:val="16"/>
              </w:rPr>
              <w:t xml:space="preserve">The </w:t>
            </w:r>
            <w:r w:rsidRPr="00F36AF2">
              <w:rPr>
                <w:rFonts w:asciiTheme="majorHAnsi" w:hAnsiTheme="majorHAnsi" w:cstheme="majorHAnsi"/>
                <w:sz w:val="16"/>
                <w:szCs w:val="16"/>
              </w:rPr>
              <w:t>organisers</w:t>
            </w:r>
            <w:r w:rsidR="00135759" w:rsidRPr="00F36AF2">
              <w:rPr>
                <w:rFonts w:asciiTheme="majorHAnsi" w:hAnsiTheme="majorHAnsi" w:cstheme="majorHAnsi"/>
                <w:sz w:val="16"/>
                <w:szCs w:val="16"/>
              </w:rPr>
              <w:t xml:space="preserve"> </w:t>
            </w:r>
            <w:r w:rsidR="004C2FA4" w:rsidRPr="00F36AF2">
              <w:rPr>
                <w:rFonts w:asciiTheme="majorHAnsi" w:hAnsiTheme="majorHAnsi" w:cstheme="majorHAnsi"/>
                <w:sz w:val="16"/>
                <w:szCs w:val="16"/>
              </w:rPr>
              <w:t xml:space="preserve">will respond to individual support needs on a case by case basis.  </w:t>
            </w:r>
          </w:p>
          <w:p w14:paraId="6E2C9B87" w14:textId="77777777" w:rsidR="004C2FA4" w:rsidRPr="00F36AF2" w:rsidRDefault="004C2FA4" w:rsidP="00552ABC">
            <w:pPr>
              <w:spacing w:after="0" w:line="283" w:lineRule="auto"/>
              <w:ind w:firstLine="33"/>
              <w:rPr>
                <w:rFonts w:asciiTheme="majorHAnsi" w:hAnsiTheme="majorHAnsi" w:cstheme="majorHAnsi"/>
                <w:sz w:val="16"/>
                <w:szCs w:val="16"/>
              </w:rPr>
            </w:pPr>
          </w:p>
          <w:p w14:paraId="4057848D" w14:textId="1EB188F1" w:rsidR="004C2FA4" w:rsidRPr="00F36AF2" w:rsidRDefault="00C566C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 and host institution</w:t>
            </w:r>
            <w:r w:rsidR="004C2FA4" w:rsidRPr="00F36AF2">
              <w:rPr>
                <w:rFonts w:asciiTheme="majorHAnsi" w:hAnsiTheme="majorHAnsi" w:cstheme="majorHAnsi"/>
                <w:sz w:val="16"/>
                <w:szCs w:val="16"/>
              </w:rPr>
              <w:t xml:space="preserve"> will ensure the </w:t>
            </w:r>
            <w:r w:rsidR="001B58BC" w:rsidRPr="00F36AF2">
              <w:rPr>
                <w:rFonts w:asciiTheme="majorHAnsi" w:hAnsiTheme="majorHAnsi" w:cstheme="majorHAnsi"/>
                <w:sz w:val="16"/>
                <w:szCs w:val="16"/>
              </w:rPr>
              <w:t xml:space="preserve">event </w:t>
            </w:r>
            <w:r w:rsidR="004C2FA4" w:rsidRPr="00F36AF2">
              <w:rPr>
                <w:rFonts w:asciiTheme="majorHAnsi" w:hAnsiTheme="majorHAnsi" w:cstheme="majorHAnsi"/>
                <w:sz w:val="16"/>
                <w:szCs w:val="16"/>
              </w:rPr>
              <w:t>venue is compatible with the use of hearing aid loops and will work with individuals to understand what other help can be provided.</w:t>
            </w:r>
          </w:p>
          <w:p w14:paraId="1BDF435F" w14:textId="77777777" w:rsidR="00C566CC" w:rsidRPr="00F36AF2" w:rsidRDefault="00C566CC" w:rsidP="00552ABC">
            <w:pPr>
              <w:pStyle w:val="NormalWeb"/>
              <w:spacing w:before="0" w:beforeAutospacing="0" w:after="0" w:afterAutospacing="0" w:line="283" w:lineRule="auto"/>
              <w:rPr>
                <w:rFonts w:asciiTheme="majorHAnsi" w:hAnsiTheme="majorHAnsi" w:cstheme="majorHAnsi"/>
                <w:sz w:val="16"/>
                <w:szCs w:val="16"/>
              </w:rPr>
            </w:pPr>
          </w:p>
          <w:p w14:paraId="7884EE76" w14:textId="59EDAED8" w:rsidR="004C2FA4" w:rsidRPr="00F36AF2" w:rsidRDefault="00C566CC" w:rsidP="00DF7C45">
            <w:pPr>
              <w:pStyle w:val="NormalWeb"/>
              <w:spacing w:before="0" w:beforeAutospacing="0" w:after="0" w:afterAutospacing="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 and host institution</w:t>
            </w:r>
            <w:r w:rsidR="004C2FA4" w:rsidRPr="00F36AF2">
              <w:rPr>
                <w:rFonts w:asciiTheme="majorHAnsi" w:hAnsiTheme="majorHAnsi" w:cstheme="majorHAnsi"/>
                <w:sz w:val="16"/>
                <w:szCs w:val="16"/>
              </w:rPr>
              <w:t xml:space="preserve"> will select </w:t>
            </w:r>
            <w:r w:rsidR="001B58BC" w:rsidRPr="00F36AF2">
              <w:rPr>
                <w:rFonts w:asciiTheme="majorHAnsi" w:hAnsiTheme="majorHAnsi" w:cstheme="majorHAnsi"/>
                <w:sz w:val="16"/>
                <w:szCs w:val="16"/>
              </w:rPr>
              <w:t>venues</w:t>
            </w:r>
            <w:r w:rsidR="004C2FA4" w:rsidRPr="00F36AF2">
              <w:rPr>
                <w:rFonts w:asciiTheme="majorHAnsi" w:hAnsiTheme="majorHAnsi" w:cstheme="majorHAnsi"/>
                <w:sz w:val="16"/>
                <w:szCs w:val="16"/>
              </w:rPr>
              <w:t xml:space="preserve"> that </w:t>
            </w:r>
            <w:r w:rsidR="001B58BC" w:rsidRPr="00F36AF2">
              <w:rPr>
                <w:rFonts w:asciiTheme="majorHAnsi" w:hAnsiTheme="majorHAnsi" w:cstheme="majorHAnsi"/>
                <w:sz w:val="16"/>
                <w:szCs w:val="16"/>
              </w:rPr>
              <w:t>are</w:t>
            </w:r>
            <w:r w:rsidR="00123A04" w:rsidRPr="00F36AF2">
              <w:rPr>
                <w:rFonts w:asciiTheme="majorHAnsi" w:hAnsiTheme="majorHAnsi" w:cstheme="majorHAnsi"/>
                <w:sz w:val="16"/>
                <w:szCs w:val="16"/>
              </w:rPr>
              <w:t xml:space="preserve"> </w:t>
            </w:r>
            <w:r w:rsidR="004C2FA4" w:rsidRPr="00F36AF2">
              <w:rPr>
                <w:rFonts w:asciiTheme="majorHAnsi" w:hAnsiTheme="majorHAnsi" w:cstheme="majorHAnsi"/>
                <w:sz w:val="16"/>
                <w:szCs w:val="16"/>
              </w:rPr>
              <w:t xml:space="preserve">light and airy, ensure that </w:t>
            </w:r>
            <w:r w:rsidR="00086FB1" w:rsidRPr="00F36AF2">
              <w:rPr>
                <w:rFonts w:asciiTheme="majorHAnsi" w:hAnsiTheme="majorHAnsi" w:cstheme="majorHAnsi"/>
                <w:sz w:val="16"/>
                <w:szCs w:val="16"/>
              </w:rPr>
              <w:t>appropriate</w:t>
            </w:r>
            <w:r w:rsidR="004C2FA4" w:rsidRPr="00F36AF2">
              <w:rPr>
                <w:rFonts w:asciiTheme="majorHAnsi" w:hAnsiTheme="majorHAnsi" w:cstheme="majorHAnsi"/>
                <w:sz w:val="16"/>
                <w:szCs w:val="16"/>
              </w:rPr>
              <w:t xml:space="preserve"> breaks are built in to the </w:t>
            </w:r>
            <w:r w:rsidR="00086FB1" w:rsidRPr="00F36AF2">
              <w:rPr>
                <w:rFonts w:asciiTheme="majorHAnsi" w:hAnsiTheme="majorHAnsi" w:cstheme="majorHAnsi"/>
                <w:sz w:val="16"/>
                <w:szCs w:val="16"/>
              </w:rPr>
              <w:t xml:space="preserve">event </w:t>
            </w:r>
            <w:r w:rsidR="004C2FA4" w:rsidRPr="00F36AF2">
              <w:rPr>
                <w:rFonts w:asciiTheme="majorHAnsi" w:hAnsiTheme="majorHAnsi" w:cstheme="majorHAnsi"/>
                <w:sz w:val="16"/>
                <w:szCs w:val="16"/>
              </w:rPr>
              <w:t>agenda and ensure that colours chosen don’t trigger migraines</w:t>
            </w:r>
            <w:r w:rsidR="00086FB1" w:rsidRPr="00F36AF2">
              <w:rPr>
                <w:rFonts w:asciiTheme="majorHAnsi" w:hAnsiTheme="majorHAnsi" w:cstheme="majorHAnsi"/>
                <w:sz w:val="16"/>
                <w:szCs w:val="16"/>
              </w:rPr>
              <w:t>.</w:t>
            </w:r>
            <w:r w:rsidR="00086FB1" w:rsidRPr="00F36AF2" w:rsidDel="00086FB1">
              <w:rPr>
                <w:rFonts w:asciiTheme="majorHAnsi" w:hAnsiTheme="majorHAnsi" w:cstheme="majorHAnsi"/>
                <w:sz w:val="16"/>
                <w:szCs w:val="16"/>
              </w:rPr>
              <w:t xml:space="preserve"> </w:t>
            </w:r>
            <w:r w:rsidR="00DF7C45" w:rsidRPr="00F36AF2">
              <w:rPr>
                <w:rFonts w:asciiTheme="majorHAnsi" w:hAnsiTheme="majorHAnsi" w:cstheme="majorHAnsi"/>
                <w:sz w:val="16"/>
                <w:szCs w:val="16"/>
              </w:rPr>
              <w:t>The organisers will endeavour to</w:t>
            </w:r>
            <w:r w:rsidR="004C2FA4" w:rsidRPr="00F36AF2">
              <w:rPr>
                <w:rFonts w:asciiTheme="majorHAnsi" w:hAnsiTheme="majorHAnsi" w:cstheme="majorHAnsi"/>
                <w:sz w:val="16"/>
                <w:szCs w:val="16"/>
              </w:rPr>
              <w:t xml:space="preserve"> understand any specific requirements for participation and will accommodate where required.</w:t>
            </w:r>
          </w:p>
        </w:tc>
      </w:tr>
      <w:tr w:rsidR="00CE252C" w:rsidRPr="000861DF" w14:paraId="0DE98589" w14:textId="77777777" w:rsidTr="00F36AF2">
        <w:tc>
          <w:tcPr>
            <w:tcW w:w="2310" w:type="dxa"/>
            <w:shd w:val="clear" w:color="auto" w:fill="B4C6E7" w:themeFill="accent5" w:themeFillTint="66"/>
          </w:tcPr>
          <w:p w14:paraId="556FC176" w14:textId="77777777" w:rsidR="00CE252C" w:rsidRPr="000861DF" w:rsidRDefault="00CE252C" w:rsidP="00552ABC">
            <w:pPr>
              <w:spacing w:after="0" w:line="283" w:lineRule="auto"/>
              <w:rPr>
                <w:rFonts w:cs="Arial"/>
                <w:b/>
                <w:color w:val="000000" w:themeColor="text1"/>
              </w:rPr>
            </w:pPr>
            <w:r w:rsidRPr="000861DF">
              <w:rPr>
                <w:rFonts w:cs="Arial"/>
                <w:b/>
                <w:color w:val="000000" w:themeColor="text1"/>
              </w:rPr>
              <w:t>Gender reassignment</w:t>
            </w:r>
          </w:p>
        </w:tc>
        <w:tc>
          <w:tcPr>
            <w:tcW w:w="1716" w:type="dxa"/>
          </w:tcPr>
          <w:p w14:paraId="3B5DA508" w14:textId="566B9367" w:rsidR="00CE252C" w:rsidRPr="00F36AF2" w:rsidRDefault="001B58B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w:t>
            </w:r>
            <w:r w:rsidR="00DF7C45" w:rsidRPr="00F36AF2">
              <w:rPr>
                <w:rFonts w:asciiTheme="majorHAnsi" w:hAnsiTheme="majorHAnsi" w:cstheme="majorHAnsi"/>
                <w:sz w:val="16"/>
                <w:szCs w:val="16"/>
              </w:rPr>
              <w:t>– potential n</w:t>
            </w:r>
            <w:r w:rsidR="00CE252C" w:rsidRPr="00F36AF2">
              <w:rPr>
                <w:rFonts w:asciiTheme="majorHAnsi" w:hAnsiTheme="majorHAnsi" w:cstheme="majorHAnsi"/>
                <w:sz w:val="16"/>
                <w:szCs w:val="16"/>
              </w:rPr>
              <w:t>egative</w:t>
            </w:r>
            <w:r w:rsidR="00DF7C45" w:rsidRPr="00F36AF2">
              <w:rPr>
                <w:rFonts w:asciiTheme="majorHAnsi" w:hAnsiTheme="majorHAnsi" w:cstheme="majorHAnsi"/>
                <w:sz w:val="16"/>
                <w:szCs w:val="16"/>
              </w:rPr>
              <w:t xml:space="preserve"> impact</w:t>
            </w:r>
          </w:p>
          <w:p w14:paraId="12910398" w14:textId="77777777" w:rsidR="00CE252C" w:rsidRPr="00F36AF2" w:rsidRDefault="00CE252C" w:rsidP="00552ABC">
            <w:pPr>
              <w:spacing w:after="0" w:line="283" w:lineRule="auto"/>
              <w:rPr>
                <w:rFonts w:asciiTheme="majorHAnsi" w:hAnsiTheme="majorHAnsi" w:cstheme="majorHAnsi"/>
                <w:sz w:val="16"/>
                <w:szCs w:val="16"/>
              </w:rPr>
            </w:pPr>
          </w:p>
        </w:tc>
        <w:tc>
          <w:tcPr>
            <w:tcW w:w="4111" w:type="dxa"/>
          </w:tcPr>
          <w:p w14:paraId="1AF70E50" w14:textId="27935025" w:rsidR="00CE252C" w:rsidRPr="00F36AF2" w:rsidRDefault="00DF7C45" w:rsidP="00DF7C45">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w:t>
            </w:r>
            <w:r w:rsidR="00CE252C" w:rsidRPr="00F36AF2">
              <w:rPr>
                <w:rFonts w:asciiTheme="majorHAnsi" w:hAnsiTheme="majorHAnsi" w:cstheme="majorHAnsi"/>
                <w:sz w:val="16"/>
                <w:szCs w:val="16"/>
              </w:rPr>
              <w:t xml:space="preserve">ocietal </w:t>
            </w:r>
            <w:r w:rsidRPr="00F36AF2">
              <w:rPr>
                <w:rFonts w:asciiTheme="majorHAnsi" w:hAnsiTheme="majorHAnsi" w:cstheme="majorHAnsi"/>
                <w:sz w:val="16"/>
                <w:szCs w:val="16"/>
              </w:rPr>
              <w:t>or</w:t>
            </w:r>
            <w:r w:rsidR="00CE252C" w:rsidRPr="00F36AF2">
              <w:rPr>
                <w:rFonts w:asciiTheme="majorHAnsi" w:hAnsiTheme="majorHAnsi" w:cstheme="majorHAnsi"/>
                <w:sz w:val="16"/>
                <w:szCs w:val="16"/>
              </w:rPr>
              <w:t xml:space="preserve"> </w:t>
            </w:r>
            <w:r w:rsidRPr="00F36AF2">
              <w:rPr>
                <w:rFonts w:asciiTheme="majorHAnsi" w:hAnsiTheme="majorHAnsi" w:cstheme="majorHAnsi"/>
                <w:sz w:val="16"/>
                <w:szCs w:val="16"/>
              </w:rPr>
              <w:t>cultural attitudes of some attendees</w:t>
            </w:r>
            <w:r w:rsidR="00CE252C" w:rsidRPr="00F36AF2">
              <w:rPr>
                <w:rFonts w:asciiTheme="majorHAnsi" w:hAnsiTheme="majorHAnsi" w:cstheme="majorHAnsi"/>
                <w:sz w:val="16"/>
                <w:szCs w:val="16"/>
              </w:rPr>
              <w:t xml:space="preserve"> </w:t>
            </w:r>
            <w:r w:rsidRPr="00F36AF2">
              <w:rPr>
                <w:rFonts w:asciiTheme="majorHAnsi" w:hAnsiTheme="majorHAnsi" w:cstheme="majorHAnsi"/>
                <w:sz w:val="16"/>
                <w:szCs w:val="16"/>
              </w:rPr>
              <w:t xml:space="preserve">regarding gender reassignment </w:t>
            </w:r>
            <w:r w:rsidR="00CE252C" w:rsidRPr="00F36AF2">
              <w:rPr>
                <w:rFonts w:asciiTheme="majorHAnsi" w:hAnsiTheme="majorHAnsi" w:cstheme="majorHAnsi"/>
                <w:sz w:val="16"/>
                <w:szCs w:val="16"/>
              </w:rPr>
              <w:t xml:space="preserve">may affect </w:t>
            </w:r>
            <w:r w:rsidRPr="00F36AF2">
              <w:rPr>
                <w:rFonts w:asciiTheme="majorHAnsi" w:hAnsiTheme="majorHAnsi" w:cstheme="majorHAnsi"/>
                <w:sz w:val="16"/>
                <w:szCs w:val="16"/>
              </w:rPr>
              <w:t>other individuals.</w:t>
            </w:r>
            <w:r w:rsidR="00CE252C" w:rsidRPr="00F36AF2">
              <w:rPr>
                <w:rFonts w:asciiTheme="majorHAnsi" w:hAnsiTheme="majorHAnsi" w:cstheme="majorHAnsi"/>
                <w:sz w:val="16"/>
                <w:szCs w:val="16"/>
              </w:rPr>
              <w:t xml:space="preserve"> </w:t>
            </w:r>
          </w:p>
        </w:tc>
        <w:tc>
          <w:tcPr>
            <w:tcW w:w="5892" w:type="dxa"/>
          </w:tcPr>
          <w:p w14:paraId="12ECD826" w14:textId="21214418" w:rsidR="0002160A" w:rsidRPr="00F36AF2" w:rsidRDefault="00DF7C45"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143E0AEA" w14:textId="77777777" w:rsidR="00DF7C45" w:rsidRPr="00F36AF2" w:rsidRDefault="00DF7C45" w:rsidP="00552ABC">
            <w:pPr>
              <w:spacing w:after="0" w:line="283" w:lineRule="auto"/>
              <w:rPr>
                <w:rFonts w:asciiTheme="majorHAnsi" w:hAnsiTheme="majorHAnsi" w:cstheme="majorHAnsi"/>
                <w:sz w:val="16"/>
                <w:szCs w:val="16"/>
              </w:rPr>
            </w:pPr>
          </w:p>
          <w:p w14:paraId="232CEF6A" w14:textId="37157121" w:rsidR="00CE252C" w:rsidRPr="00F36AF2" w:rsidRDefault="00DF7C45"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Code of Conduct also makes clear the organisers’ expectations of symposium presenters and workshop leaders. The organising partners and host institution commit to doing all in their power to minimise the chance of the symposium design being discriminatory against any </w:t>
            </w:r>
            <w:r w:rsidR="009D4240" w:rsidRPr="00F36AF2">
              <w:rPr>
                <w:rFonts w:asciiTheme="majorHAnsi" w:hAnsiTheme="majorHAnsi" w:cstheme="majorHAnsi"/>
                <w:sz w:val="16"/>
                <w:szCs w:val="16"/>
              </w:rPr>
              <w:t>societal</w:t>
            </w:r>
            <w:r w:rsidRPr="00F36AF2">
              <w:rPr>
                <w:rFonts w:asciiTheme="majorHAnsi" w:hAnsiTheme="majorHAnsi" w:cstheme="majorHAnsi"/>
                <w:sz w:val="16"/>
                <w:szCs w:val="16"/>
              </w:rPr>
              <w:t xml:space="preserve"> group.</w:t>
            </w:r>
          </w:p>
        </w:tc>
      </w:tr>
      <w:tr w:rsidR="00393D2B" w:rsidRPr="000861DF" w14:paraId="23FF6D99" w14:textId="77777777" w:rsidTr="00F36AF2">
        <w:tc>
          <w:tcPr>
            <w:tcW w:w="2310" w:type="dxa"/>
            <w:shd w:val="clear" w:color="auto" w:fill="B4C6E7" w:themeFill="accent5" w:themeFillTint="66"/>
          </w:tcPr>
          <w:p w14:paraId="52B48BF2" w14:textId="77777777" w:rsidR="00393D2B" w:rsidRPr="000861DF" w:rsidRDefault="00393D2B" w:rsidP="00552ABC">
            <w:pPr>
              <w:spacing w:after="0" w:line="283" w:lineRule="auto"/>
              <w:rPr>
                <w:rFonts w:cs="Arial"/>
                <w:b/>
                <w:color w:val="000000" w:themeColor="text1"/>
              </w:rPr>
            </w:pPr>
            <w:r w:rsidRPr="000861DF">
              <w:rPr>
                <w:rFonts w:cs="Arial"/>
                <w:b/>
                <w:color w:val="000000" w:themeColor="text1"/>
              </w:rPr>
              <w:t>Marriage or civil partnership</w:t>
            </w:r>
          </w:p>
        </w:tc>
        <w:tc>
          <w:tcPr>
            <w:tcW w:w="1716" w:type="dxa"/>
          </w:tcPr>
          <w:p w14:paraId="73699F13" w14:textId="14F99CF3" w:rsidR="00393D2B" w:rsidRPr="00F36AF2" w:rsidRDefault="0002160A"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No</w:t>
            </w:r>
            <w:r w:rsidR="00DF7C45" w:rsidRPr="00F36AF2">
              <w:rPr>
                <w:rFonts w:asciiTheme="majorHAnsi" w:hAnsiTheme="majorHAnsi" w:cstheme="majorHAnsi"/>
                <w:sz w:val="16"/>
                <w:szCs w:val="16"/>
              </w:rPr>
              <w:t xml:space="preserve"> impact predicted</w:t>
            </w:r>
          </w:p>
        </w:tc>
        <w:tc>
          <w:tcPr>
            <w:tcW w:w="4111" w:type="dxa"/>
          </w:tcPr>
          <w:p w14:paraId="0000F019" w14:textId="1A01C4C2" w:rsidR="0002160A" w:rsidRPr="00F36AF2" w:rsidRDefault="00DF7C45"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It is not considered that any aspect of the symposium</w:t>
            </w:r>
            <w:r w:rsidR="00F44A46" w:rsidRPr="00F36AF2">
              <w:rPr>
                <w:rFonts w:asciiTheme="majorHAnsi" w:hAnsiTheme="majorHAnsi" w:cstheme="majorHAnsi"/>
                <w:sz w:val="16"/>
                <w:szCs w:val="16"/>
              </w:rPr>
              <w:t xml:space="preserve"> would impact upon the marital or civil partnership status of an organiser or attendee.</w:t>
            </w:r>
            <w:r w:rsidRPr="00F36AF2">
              <w:rPr>
                <w:rFonts w:asciiTheme="majorHAnsi" w:hAnsiTheme="majorHAnsi" w:cstheme="majorHAnsi"/>
                <w:sz w:val="16"/>
                <w:szCs w:val="16"/>
              </w:rPr>
              <w:t xml:space="preserve"> </w:t>
            </w:r>
          </w:p>
        </w:tc>
        <w:tc>
          <w:tcPr>
            <w:tcW w:w="5892" w:type="dxa"/>
          </w:tcPr>
          <w:p w14:paraId="3F07A987" w14:textId="77777777" w:rsidR="006A5F34" w:rsidRPr="00F36AF2" w:rsidRDefault="006A5F34" w:rsidP="00552ABC">
            <w:pPr>
              <w:spacing w:after="0" w:line="283" w:lineRule="auto"/>
              <w:rPr>
                <w:rFonts w:asciiTheme="majorHAnsi" w:hAnsiTheme="majorHAnsi" w:cstheme="majorHAnsi"/>
                <w:sz w:val="16"/>
                <w:szCs w:val="16"/>
              </w:rPr>
            </w:pPr>
          </w:p>
        </w:tc>
      </w:tr>
      <w:tr w:rsidR="004D0014" w:rsidRPr="000861DF" w14:paraId="305E5DEA" w14:textId="77777777" w:rsidTr="00F36AF2">
        <w:tc>
          <w:tcPr>
            <w:tcW w:w="2310" w:type="dxa"/>
            <w:shd w:val="clear" w:color="auto" w:fill="B4C6E7" w:themeFill="accent5" w:themeFillTint="66"/>
          </w:tcPr>
          <w:p w14:paraId="191C47C6" w14:textId="77777777" w:rsidR="004D0014" w:rsidRPr="000861DF" w:rsidRDefault="004D0014" w:rsidP="00552ABC">
            <w:pPr>
              <w:spacing w:after="0" w:line="283" w:lineRule="auto"/>
              <w:rPr>
                <w:rFonts w:cs="Arial"/>
                <w:b/>
                <w:color w:val="000000" w:themeColor="text1"/>
              </w:rPr>
            </w:pPr>
            <w:r w:rsidRPr="000861DF">
              <w:rPr>
                <w:rFonts w:cs="Arial"/>
                <w:b/>
                <w:color w:val="000000" w:themeColor="text1"/>
              </w:rPr>
              <w:lastRenderedPageBreak/>
              <w:t>Pregnancy and maternity</w:t>
            </w:r>
          </w:p>
        </w:tc>
        <w:tc>
          <w:tcPr>
            <w:tcW w:w="1716" w:type="dxa"/>
          </w:tcPr>
          <w:p w14:paraId="6CFA2B74" w14:textId="50E60112" w:rsidR="004D0014" w:rsidRPr="00F36AF2" w:rsidRDefault="004D0014"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w:t>
            </w:r>
            <w:r w:rsidR="00F44A46" w:rsidRPr="00F36AF2">
              <w:rPr>
                <w:rFonts w:asciiTheme="majorHAnsi" w:hAnsiTheme="majorHAnsi" w:cstheme="majorHAnsi"/>
                <w:sz w:val="16"/>
                <w:szCs w:val="16"/>
              </w:rPr>
              <w:t xml:space="preserve">potential </w:t>
            </w:r>
            <w:r w:rsidRPr="00F36AF2">
              <w:rPr>
                <w:rFonts w:asciiTheme="majorHAnsi" w:hAnsiTheme="majorHAnsi" w:cstheme="majorHAnsi"/>
                <w:sz w:val="16"/>
                <w:szCs w:val="16"/>
              </w:rPr>
              <w:t>negative impact</w:t>
            </w:r>
          </w:p>
        </w:tc>
        <w:tc>
          <w:tcPr>
            <w:tcW w:w="4111" w:type="dxa"/>
          </w:tcPr>
          <w:p w14:paraId="5461E7A4" w14:textId="5DC1261D" w:rsidR="004D0014"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Symposium attendees</w:t>
            </w:r>
            <w:r w:rsidR="0002160A" w:rsidRPr="00F36AF2">
              <w:rPr>
                <w:rFonts w:asciiTheme="majorHAnsi" w:hAnsiTheme="majorHAnsi" w:cstheme="majorHAnsi"/>
                <w:sz w:val="16"/>
                <w:szCs w:val="16"/>
              </w:rPr>
              <w:t xml:space="preserve"> who are pregnant or on parental leave may find some difficulty in attending </w:t>
            </w:r>
            <w:r w:rsidRPr="00F36AF2">
              <w:rPr>
                <w:rFonts w:asciiTheme="majorHAnsi" w:hAnsiTheme="majorHAnsi" w:cstheme="majorHAnsi"/>
                <w:sz w:val="16"/>
                <w:szCs w:val="16"/>
              </w:rPr>
              <w:t>or</w:t>
            </w:r>
            <w:r w:rsidR="0002160A" w:rsidRPr="00F36AF2">
              <w:rPr>
                <w:rFonts w:asciiTheme="majorHAnsi" w:hAnsiTheme="majorHAnsi" w:cstheme="majorHAnsi"/>
                <w:sz w:val="16"/>
                <w:szCs w:val="16"/>
              </w:rPr>
              <w:t xml:space="preserve"> participating in </w:t>
            </w:r>
            <w:r w:rsidRPr="00F36AF2">
              <w:rPr>
                <w:rFonts w:asciiTheme="majorHAnsi" w:hAnsiTheme="majorHAnsi" w:cstheme="majorHAnsi"/>
                <w:sz w:val="16"/>
                <w:szCs w:val="16"/>
              </w:rPr>
              <w:t>aspects of the symposium</w:t>
            </w:r>
            <w:r w:rsidR="0002160A" w:rsidRPr="00F36AF2">
              <w:rPr>
                <w:rFonts w:asciiTheme="majorHAnsi" w:hAnsiTheme="majorHAnsi" w:cstheme="majorHAnsi"/>
                <w:sz w:val="16"/>
                <w:szCs w:val="16"/>
              </w:rPr>
              <w:t>.</w:t>
            </w:r>
          </w:p>
          <w:p w14:paraId="4B006B00" w14:textId="77777777" w:rsidR="004D0014" w:rsidRPr="00F36AF2" w:rsidRDefault="004D0014" w:rsidP="00552ABC">
            <w:pPr>
              <w:spacing w:after="0" w:line="283" w:lineRule="auto"/>
              <w:rPr>
                <w:rFonts w:asciiTheme="majorHAnsi" w:hAnsiTheme="majorHAnsi" w:cstheme="majorHAnsi"/>
                <w:sz w:val="16"/>
                <w:szCs w:val="16"/>
              </w:rPr>
            </w:pPr>
          </w:p>
          <w:p w14:paraId="6A15B278" w14:textId="77777777" w:rsidR="004D0014" w:rsidRPr="00F36AF2" w:rsidRDefault="004D0014" w:rsidP="00552ABC">
            <w:pPr>
              <w:spacing w:after="0" w:line="283" w:lineRule="auto"/>
              <w:rPr>
                <w:rFonts w:asciiTheme="majorHAnsi" w:hAnsiTheme="majorHAnsi" w:cstheme="majorHAnsi"/>
                <w:sz w:val="16"/>
                <w:szCs w:val="16"/>
              </w:rPr>
            </w:pPr>
          </w:p>
          <w:p w14:paraId="5D6C8CC5" w14:textId="77777777" w:rsidR="004D0014" w:rsidRPr="00F36AF2" w:rsidRDefault="004D0014" w:rsidP="00552ABC">
            <w:pPr>
              <w:spacing w:after="0" w:line="283" w:lineRule="auto"/>
              <w:rPr>
                <w:rFonts w:asciiTheme="majorHAnsi" w:hAnsiTheme="majorHAnsi" w:cstheme="majorHAnsi"/>
                <w:sz w:val="16"/>
                <w:szCs w:val="16"/>
              </w:rPr>
            </w:pPr>
          </w:p>
          <w:p w14:paraId="2BEFF830" w14:textId="01191CF0" w:rsidR="004D0014" w:rsidRPr="00F36AF2" w:rsidRDefault="004D0014"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Nursing mothers may need additional support in terms of suitable accommodation</w:t>
            </w:r>
            <w:r w:rsidR="00F44A46" w:rsidRPr="00F36AF2">
              <w:rPr>
                <w:rFonts w:asciiTheme="majorHAnsi" w:hAnsiTheme="majorHAnsi" w:cstheme="majorHAnsi"/>
                <w:sz w:val="16"/>
                <w:szCs w:val="16"/>
              </w:rPr>
              <w:t>.</w:t>
            </w:r>
            <w:r w:rsidRPr="00F36AF2">
              <w:rPr>
                <w:rFonts w:asciiTheme="majorHAnsi" w:hAnsiTheme="majorHAnsi" w:cstheme="majorHAnsi"/>
                <w:sz w:val="16"/>
                <w:szCs w:val="16"/>
              </w:rPr>
              <w:t xml:space="preserve"> </w:t>
            </w:r>
          </w:p>
          <w:p w14:paraId="30112573" w14:textId="77777777" w:rsidR="004D0014" w:rsidRPr="00F36AF2" w:rsidRDefault="004D0014" w:rsidP="00552ABC">
            <w:pPr>
              <w:spacing w:after="0" w:line="283" w:lineRule="auto"/>
              <w:rPr>
                <w:rFonts w:asciiTheme="majorHAnsi" w:hAnsiTheme="majorHAnsi" w:cstheme="majorHAnsi"/>
                <w:sz w:val="16"/>
                <w:szCs w:val="16"/>
              </w:rPr>
            </w:pPr>
          </w:p>
          <w:p w14:paraId="713C79DD" w14:textId="1AF16CB8" w:rsidR="004D0014"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Organising</w:t>
            </w:r>
            <w:r w:rsidR="00753EDF" w:rsidRPr="00F36AF2">
              <w:rPr>
                <w:rFonts w:asciiTheme="majorHAnsi" w:hAnsiTheme="majorHAnsi" w:cstheme="majorHAnsi"/>
                <w:sz w:val="16"/>
                <w:szCs w:val="16"/>
              </w:rPr>
              <w:t xml:space="preserve"> partners</w:t>
            </w:r>
            <w:r w:rsidR="004D0014" w:rsidRPr="00F36AF2">
              <w:rPr>
                <w:rFonts w:asciiTheme="majorHAnsi" w:hAnsiTheme="majorHAnsi" w:cstheme="majorHAnsi"/>
                <w:sz w:val="16"/>
                <w:szCs w:val="16"/>
              </w:rPr>
              <w:t xml:space="preserve"> may face additional childcare costs if having to work outside of their normal hours.</w:t>
            </w:r>
          </w:p>
        </w:tc>
        <w:tc>
          <w:tcPr>
            <w:tcW w:w="5892" w:type="dxa"/>
          </w:tcPr>
          <w:p w14:paraId="3A5EF237" w14:textId="77777777" w:rsidR="00F44A46"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organising partners and host institution will take all reasonable steps to </w:t>
            </w:r>
            <w:r w:rsidR="004D0014" w:rsidRPr="00F36AF2">
              <w:rPr>
                <w:rFonts w:asciiTheme="majorHAnsi" w:hAnsiTheme="majorHAnsi" w:cstheme="majorHAnsi"/>
                <w:sz w:val="16"/>
                <w:szCs w:val="16"/>
              </w:rPr>
              <w:t xml:space="preserve">understand and cater </w:t>
            </w:r>
            <w:r w:rsidRPr="00F36AF2">
              <w:rPr>
                <w:rFonts w:asciiTheme="majorHAnsi" w:hAnsiTheme="majorHAnsi" w:cstheme="majorHAnsi"/>
                <w:sz w:val="16"/>
                <w:szCs w:val="16"/>
              </w:rPr>
              <w:t>to</w:t>
            </w:r>
            <w:r w:rsidR="004D0014" w:rsidRPr="00F36AF2">
              <w:rPr>
                <w:rFonts w:asciiTheme="majorHAnsi" w:hAnsiTheme="majorHAnsi" w:cstheme="majorHAnsi"/>
                <w:sz w:val="16"/>
                <w:szCs w:val="16"/>
              </w:rPr>
              <w:t xml:space="preserve"> requirements for participation. </w:t>
            </w:r>
          </w:p>
          <w:p w14:paraId="6C3F0F05" w14:textId="77777777" w:rsidR="00F44A46" w:rsidRPr="00F36AF2" w:rsidRDefault="00F44A46" w:rsidP="00552ABC">
            <w:pPr>
              <w:spacing w:after="0" w:line="283" w:lineRule="auto"/>
              <w:rPr>
                <w:rFonts w:asciiTheme="majorHAnsi" w:hAnsiTheme="majorHAnsi" w:cstheme="majorHAnsi"/>
                <w:sz w:val="16"/>
                <w:szCs w:val="16"/>
              </w:rPr>
            </w:pPr>
          </w:p>
          <w:p w14:paraId="381C1270" w14:textId="3F847349" w:rsidR="004D0014"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 venue will be</w:t>
            </w:r>
            <w:r w:rsidR="004D0014" w:rsidRPr="00F36AF2">
              <w:rPr>
                <w:rFonts w:asciiTheme="majorHAnsi" w:hAnsiTheme="majorHAnsi" w:cstheme="majorHAnsi"/>
                <w:sz w:val="16"/>
                <w:szCs w:val="16"/>
              </w:rPr>
              <w:t xml:space="preserve"> are easily accessible</w:t>
            </w:r>
            <w:r w:rsidRPr="00F36AF2">
              <w:rPr>
                <w:rFonts w:asciiTheme="majorHAnsi" w:hAnsiTheme="majorHAnsi" w:cstheme="majorHAnsi"/>
                <w:sz w:val="16"/>
                <w:szCs w:val="16"/>
              </w:rPr>
              <w:t xml:space="preserve"> and close</w:t>
            </w:r>
            <w:r w:rsidR="004D0014" w:rsidRPr="00F36AF2">
              <w:rPr>
                <w:rFonts w:asciiTheme="majorHAnsi" w:hAnsiTheme="majorHAnsi" w:cstheme="majorHAnsi"/>
                <w:sz w:val="16"/>
                <w:szCs w:val="16"/>
              </w:rPr>
              <w:t xml:space="preserve"> to </w:t>
            </w:r>
            <w:r w:rsidR="0002160A" w:rsidRPr="00F36AF2">
              <w:rPr>
                <w:rFonts w:asciiTheme="majorHAnsi" w:hAnsiTheme="majorHAnsi" w:cstheme="majorHAnsi"/>
                <w:sz w:val="16"/>
                <w:szCs w:val="16"/>
              </w:rPr>
              <w:t>local</w:t>
            </w:r>
            <w:r w:rsidR="00753EDF" w:rsidRPr="00F36AF2">
              <w:rPr>
                <w:rFonts w:asciiTheme="majorHAnsi" w:hAnsiTheme="majorHAnsi" w:cstheme="majorHAnsi"/>
                <w:sz w:val="16"/>
                <w:szCs w:val="16"/>
              </w:rPr>
              <w:t xml:space="preserve"> public</w:t>
            </w:r>
            <w:r w:rsidR="0002160A" w:rsidRPr="00F36AF2">
              <w:rPr>
                <w:rFonts w:asciiTheme="majorHAnsi" w:hAnsiTheme="majorHAnsi" w:cstheme="majorHAnsi"/>
                <w:sz w:val="16"/>
                <w:szCs w:val="16"/>
              </w:rPr>
              <w:t xml:space="preserve"> transport</w:t>
            </w:r>
            <w:r w:rsidR="00753EDF" w:rsidRPr="00F36AF2">
              <w:rPr>
                <w:rFonts w:asciiTheme="majorHAnsi" w:hAnsiTheme="majorHAnsi" w:cstheme="majorHAnsi"/>
                <w:sz w:val="16"/>
                <w:szCs w:val="16"/>
              </w:rPr>
              <w:t xml:space="preserve"> links</w:t>
            </w:r>
            <w:r w:rsidR="004D0014" w:rsidRPr="00F36AF2">
              <w:rPr>
                <w:rFonts w:asciiTheme="majorHAnsi" w:hAnsiTheme="majorHAnsi" w:cstheme="majorHAnsi"/>
                <w:sz w:val="16"/>
                <w:szCs w:val="16"/>
              </w:rPr>
              <w:t>.</w:t>
            </w:r>
          </w:p>
          <w:p w14:paraId="57477ACE" w14:textId="77777777" w:rsidR="00F44A46" w:rsidRPr="00F36AF2" w:rsidRDefault="00F44A46" w:rsidP="00552ABC">
            <w:pPr>
              <w:spacing w:after="0" w:line="283" w:lineRule="auto"/>
              <w:rPr>
                <w:rFonts w:asciiTheme="majorHAnsi" w:hAnsiTheme="majorHAnsi" w:cstheme="majorHAnsi"/>
                <w:sz w:val="16"/>
                <w:szCs w:val="16"/>
              </w:rPr>
            </w:pPr>
          </w:p>
          <w:p w14:paraId="27FC35F8" w14:textId="41A86C57" w:rsidR="004D0014"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 agenda</w:t>
            </w:r>
            <w:r w:rsidR="00753EDF" w:rsidRPr="00F36AF2">
              <w:rPr>
                <w:rFonts w:asciiTheme="majorHAnsi" w:hAnsiTheme="majorHAnsi" w:cstheme="majorHAnsi"/>
                <w:sz w:val="16"/>
                <w:szCs w:val="16"/>
              </w:rPr>
              <w:t xml:space="preserve"> </w:t>
            </w:r>
            <w:r w:rsidRPr="00F36AF2">
              <w:rPr>
                <w:rFonts w:asciiTheme="majorHAnsi" w:hAnsiTheme="majorHAnsi" w:cstheme="majorHAnsi"/>
                <w:sz w:val="16"/>
                <w:szCs w:val="16"/>
              </w:rPr>
              <w:t>will be constructed</w:t>
            </w:r>
            <w:r w:rsidR="004D0014" w:rsidRPr="00F36AF2">
              <w:rPr>
                <w:rFonts w:asciiTheme="majorHAnsi" w:hAnsiTheme="majorHAnsi" w:cstheme="majorHAnsi"/>
                <w:sz w:val="16"/>
                <w:szCs w:val="16"/>
              </w:rPr>
              <w:t xml:space="preserve"> to allow for adequate breaks.</w:t>
            </w:r>
          </w:p>
          <w:p w14:paraId="11AF386C" w14:textId="77777777" w:rsidR="00753EDF" w:rsidRPr="00F36AF2" w:rsidRDefault="00753EDF" w:rsidP="00552ABC">
            <w:pPr>
              <w:spacing w:after="0" w:line="283" w:lineRule="auto"/>
              <w:rPr>
                <w:rFonts w:asciiTheme="majorHAnsi" w:hAnsiTheme="majorHAnsi" w:cstheme="majorHAnsi"/>
                <w:sz w:val="16"/>
                <w:szCs w:val="16"/>
              </w:rPr>
            </w:pPr>
          </w:p>
          <w:p w14:paraId="7AA8FA67" w14:textId="2A0E4927" w:rsidR="004D0014"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 and host institution will take all reasonable steps to e</w:t>
            </w:r>
            <w:r w:rsidR="004D0014" w:rsidRPr="00F36AF2">
              <w:rPr>
                <w:rFonts w:asciiTheme="majorHAnsi" w:hAnsiTheme="majorHAnsi" w:cstheme="majorHAnsi"/>
                <w:sz w:val="16"/>
                <w:szCs w:val="16"/>
              </w:rPr>
              <w:t xml:space="preserve">nsure suitable accommodation </w:t>
            </w:r>
            <w:r w:rsidRPr="00F36AF2">
              <w:rPr>
                <w:rFonts w:asciiTheme="majorHAnsi" w:hAnsiTheme="majorHAnsi" w:cstheme="majorHAnsi"/>
                <w:sz w:val="16"/>
                <w:szCs w:val="16"/>
              </w:rPr>
              <w:t xml:space="preserve">can be </w:t>
            </w:r>
            <w:r w:rsidR="004D0014" w:rsidRPr="00F36AF2">
              <w:rPr>
                <w:rFonts w:asciiTheme="majorHAnsi" w:hAnsiTheme="majorHAnsi" w:cstheme="majorHAnsi"/>
                <w:sz w:val="16"/>
                <w:szCs w:val="16"/>
              </w:rPr>
              <w:t>provided for nursing mothers.</w:t>
            </w:r>
          </w:p>
          <w:p w14:paraId="3F9B4032" w14:textId="77777777" w:rsidR="004D0014" w:rsidRPr="00F36AF2" w:rsidRDefault="004D0014" w:rsidP="00552ABC">
            <w:pPr>
              <w:spacing w:after="0" w:line="283" w:lineRule="auto"/>
              <w:rPr>
                <w:rFonts w:asciiTheme="majorHAnsi" w:hAnsiTheme="majorHAnsi" w:cstheme="majorHAnsi"/>
                <w:sz w:val="16"/>
                <w:szCs w:val="16"/>
              </w:rPr>
            </w:pPr>
          </w:p>
          <w:p w14:paraId="5DC381FB" w14:textId="7DD11133" w:rsidR="00753EDF" w:rsidRPr="00F36AF2" w:rsidRDefault="00F44A4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w:t>
            </w:r>
            <w:r w:rsidR="004D0014" w:rsidRPr="00F36AF2">
              <w:rPr>
                <w:rFonts w:asciiTheme="majorHAnsi" w:hAnsiTheme="majorHAnsi" w:cstheme="majorHAnsi"/>
                <w:sz w:val="16"/>
                <w:szCs w:val="16"/>
              </w:rPr>
              <w:t xml:space="preserve"> will reimburse </w:t>
            </w:r>
            <w:r w:rsidRPr="00F36AF2">
              <w:rPr>
                <w:rFonts w:asciiTheme="majorHAnsi" w:hAnsiTheme="majorHAnsi" w:cstheme="majorHAnsi"/>
                <w:sz w:val="16"/>
                <w:szCs w:val="16"/>
              </w:rPr>
              <w:t xml:space="preserve">all reasonable </w:t>
            </w:r>
            <w:r w:rsidR="004D0014" w:rsidRPr="00F36AF2">
              <w:rPr>
                <w:rFonts w:asciiTheme="majorHAnsi" w:hAnsiTheme="majorHAnsi" w:cstheme="majorHAnsi"/>
                <w:sz w:val="16"/>
                <w:szCs w:val="16"/>
              </w:rPr>
              <w:t>additional childcare costs, above any beyond that required during normal working hours.</w:t>
            </w:r>
          </w:p>
        </w:tc>
      </w:tr>
      <w:tr w:rsidR="00237A8C" w:rsidRPr="000861DF" w14:paraId="703F2982" w14:textId="77777777" w:rsidTr="00F36AF2">
        <w:tc>
          <w:tcPr>
            <w:tcW w:w="2310" w:type="dxa"/>
            <w:shd w:val="clear" w:color="auto" w:fill="B4C6E7" w:themeFill="accent5" w:themeFillTint="66"/>
          </w:tcPr>
          <w:p w14:paraId="2F45AAC8" w14:textId="77777777" w:rsidR="00237A8C" w:rsidRPr="000861DF" w:rsidRDefault="00237A8C" w:rsidP="00552ABC">
            <w:pPr>
              <w:spacing w:after="0" w:line="283" w:lineRule="auto"/>
              <w:rPr>
                <w:rFonts w:cs="Arial"/>
                <w:b/>
                <w:color w:val="000000" w:themeColor="text1"/>
              </w:rPr>
            </w:pPr>
            <w:r w:rsidRPr="000861DF">
              <w:rPr>
                <w:rFonts w:cs="Arial"/>
                <w:b/>
                <w:color w:val="000000" w:themeColor="text1"/>
              </w:rPr>
              <w:t>Race</w:t>
            </w:r>
          </w:p>
        </w:tc>
        <w:tc>
          <w:tcPr>
            <w:tcW w:w="1716" w:type="dxa"/>
          </w:tcPr>
          <w:p w14:paraId="35F4EA7C" w14:textId="4830E321" w:rsidR="00237A8C"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potential negative impact </w:t>
            </w:r>
          </w:p>
        </w:tc>
        <w:tc>
          <w:tcPr>
            <w:tcW w:w="4111" w:type="dxa"/>
          </w:tcPr>
          <w:p w14:paraId="0FD45E4F" w14:textId="1B3BDA95" w:rsidR="00237A8C" w:rsidRPr="00F36AF2" w:rsidRDefault="00F26087" w:rsidP="00F26087">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societal or cultural attitudes of some attendees regarding race may affect other individuals.</w:t>
            </w:r>
          </w:p>
        </w:tc>
        <w:tc>
          <w:tcPr>
            <w:tcW w:w="5892" w:type="dxa"/>
          </w:tcPr>
          <w:p w14:paraId="1655C92A" w14:textId="77777777" w:rsidR="00F26087" w:rsidRPr="00F36AF2" w:rsidRDefault="00F26087" w:rsidP="00F26087">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7413023B" w14:textId="77777777" w:rsidR="00F26087" w:rsidRPr="00F36AF2" w:rsidRDefault="00F26087" w:rsidP="00F26087">
            <w:pPr>
              <w:spacing w:after="0" w:line="283" w:lineRule="auto"/>
              <w:rPr>
                <w:rFonts w:asciiTheme="majorHAnsi" w:hAnsiTheme="majorHAnsi" w:cstheme="majorHAnsi"/>
                <w:sz w:val="16"/>
                <w:szCs w:val="16"/>
              </w:rPr>
            </w:pPr>
          </w:p>
          <w:p w14:paraId="1AB015C0" w14:textId="4E9A2D72" w:rsidR="006A5F34"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Code of Conduct also makes clear the organisers’ expectations of symposium presenters and workshop leaders. The organising partners and host institution commit to doing all in their power to minimise the chance of the symposium design being discriminatory against any </w:t>
            </w:r>
            <w:r w:rsidR="009D4240" w:rsidRPr="00F36AF2">
              <w:rPr>
                <w:rFonts w:asciiTheme="majorHAnsi" w:hAnsiTheme="majorHAnsi" w:cstheme="majorHAnsi"/>
                <w:sz w:val="16"/>
                <w:szCs w:val="16"/>
              </w:rPr>
              <w:t>societal</w:t>
            </w:r>
            <w:r w:rsidRPr="00F36AF2">
              <w:rPr>
                <w:rFonts w:asciiTheme="majorHAnsi" w:hAnsiTheme="majorHAnsi" w:cstheme="majorHAnsi"/>
                <w:sz w:val="16"/>
                <w:szCs w:val="16"/>
              </w:rPr>
              <w:t xml:space="preserve"> group.</w:t>
            </w:r>
          </w:p>
        </w:tc>
      </w:tr>
      <w:tr w:rsidR="00CE252C" w:rsidRPr="000861DF" w14:paraId="72551EF5" w14:textId="77777777" w:rsidTr="00F36AF2">
        <w:tc>
          <w:tcPr>
            <w:tcW w:w="2310" w:type="dxa"/>
            <w:shd w:val="clear" w:color="auto" w:fill="B4C6E7" w:themeFill="accent5" w:themeFillTint="66"/>
          </w:tcPr>
          <w:p w14:paraId="42285A5C" w14:textId="77777777" w:rsidR="00CE252C" w:rsidRPr="000861DF" w:rsidRDefault="00CE252C" w:rsidP="00552ABC">
            <w:pPr>
              <w:spacing w:after="0" w:line="283" w:lineRule="auto"/>
              <w:rPr>
                <w:rFonts w:cs="Arial"/>
                <w:b/>
                <w:color w:val="000000" w:themeColor="text1"/>
              </w:rPr>
            </w:pPr>
            <w:r w:rsidRPr="000861DF">
              <w:rPr>
                <w:rFonts w:cs="Arial"/>
                <w:b/>
                <w:color w:val="000000" w:themeColor="text1"/>
              </w:rPr>
              <w:t>Religion or belief</w:t>
            </w:r>
          </w:p>
        </w:tc>
        <w:tc>
          <w:tcPr>
            <w:tcW w:w="1716" w:type="dxa"/>
          </w:tcPr>
          <w:p w14:paraId="4A89B7D7" w14:textId="6E17E053" w:rsidR="00CE252C"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potential negative impact </w:t>
            </w:r>
          </w:p>
        </w:tc>
        <w:tc>
          <w:tcPr>
            <w:tcW w:w="4111" w:type="dxa"/>
          </w:tcPr>
          <w:p w14:paraId="2EEC91DA" w14:textId="7C48E3D6" w:rsidR="00F26087"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societal or cultural attitudes of some attendees regarding religion may affect other individuals.</w:t>
            </w:r>
          </w:p>
          <w:p w14:paraId="69937B47" w14:textId="77777777" w:rsidR="00F26087" w:rsidRPr="00F36AF2" w:rsidRDefault="00F26087" w:rsidP="00552ABC">
            <w:pPr>
              <w:spacing w:after="0" w:line="283" w:lineRule="auto"/>
              <w:rPr>
                <w:rFonts w:asciiTheme="majorHAnsi" w:hAnsiTheme="majorHAnsi" w:cstheme="majorHAnsi"/>
                <w:sz w:val="16"/>
                <w:szCs w:val="16"/>
              </w:rPr>
            </w:pPr>
          </w:p>
          <w:p w14:paraId="413E91E0" w14:textId="77777777" w:rsidR="00F26087" w:rsidRPr="00F36AF2" w:rsidRDefault="00F26087" w:rsidP="00552ABC">
            <w:pPr>
              <w:spacing w:after="0" w:line="283" w:lineRule="auto"/>
              <w:rPr>
                <w:rFonts w:asciiTheme="majorHAnsi" w:hAnsiTheme="majorHAnsi" w:cstheme="majorHAnsi"/>
                <w:sz w:val="16"/>
                <w:szCs w:val="16"/>
              </w:rPr>
            </w:pPr>
          </w:p>
          <w:p w14:paraId="186F1478" w14:textId="77777777" w:rsidR="00F26087" w:rsidRPr="00F36AF2" w:rsidRDefault="00F26087" w:rsidP="00552ABC">
            <w:pPr>
              <w:spacing w:after="0" w:line="283" w:lineRule="auto"/>
              <w:rPr>
                <w:rFonts w:asciiTheme="majorHAnsi" w:hAnsiTheme="majorHAnsi" w:cstheme="majorHAnsi"/>
                <w:sz w:val="16"/>
                <w:szCs w:val="16"/>
              </w:rPr>
            </w:pPr>
          </w:p>
          <w:p w14:paraId="78710E1E" w14:textId="77777777" w:rsidR="00F26087" w:rsidRPr="00F36AF2" w:rsidRDefault="00F26087" w:rsidP="00552ABC">
            <w:pPr>
              <w:spacing w:after="0" w:line="283" w:lineRule="auto"/>
              <w:rPr>
                <w:rFonts w:asciiTheme="majorHAnsi" w:hAnsiTheme="majorHAnsi" w:cstheme="majorHAnsi"/>
                <w:sz w:val="16"/>
                <w:szCs w:val="16"/>
              </w:rPr>
            </w:pPr>
          </w:p>
          <w:p w14:paraId="24377C87" w14:textId="77777777" w:rsidR="00F26087" w:rsidRPr="00F36AF2" w:rsidRDefault="00F26087" w:rsidP="00552ABC">
            <w:pPr>
              <w:spacing w:after="0" w:line="283" w:lineRule="auto"/>
              <w:rPr>
                <w:rFonts w:asciiTheme="majorHAnsi" w:hAnsiTheme="majorHAnsi" w:cstheme="majorHAnsi"/>
                <w:sz w:val="16"/>
                <w:szCs w:val="16"/>
              </w:rPr>
            </w:pPr>
          </w:p>
          <w:p w14:paraId="7FB1029B" w14:textId="77777777" w:rsidR="00F26087" w:rsidRPr="00F36AF2" w:rsidRDefault="00F26087" w:rsidP="00552ABC">
            <w:pPr>
              <w:spacing w:after="0" w:line="283" w:lineRule="auto"/>
              <w:rPr>
                <w:rFonts w:asciiTheme="majorHAnsi" w:hAnsiTheme="majorHAnsi" w:cstheme="majorHAnsi"/>
                <w:sz w:val="16"/>
                <w:szCs w:val="16"/>
              </w:rPr>
            </w:pPr>
          </w:p>
          <w:p w14:paraId="44BE0405" w14:textId="77777777" w:rsidR="00F26087" w:rsidRPr="00F36AF2" w:rsidRDefault="00F26087" w:rsidP="00552ABC">
            <w:pPr>
              <w:spacing w:after="0" w:line="283" w:lineRule="auto"/>
              <w:rPr>
                <w:rFonts w:asciiTheme="majorHAnsi" w:hAnsiTheme="majorHAnsi" w:cstheme="majorHAnsi"/>
                <w:sz w:val="16"/>
                <w:szCs w:val="16"/>
              </w:rPr>
            </w:pPr>
          </w:p>
          <w:p w14:paraId="48AD1CA4" w14:textId="77777777" w:rsidR="00F26087" w:rsidRPr="00F36AF2" w:rsidRDefault="00F26087" w:rsidP="00552ABC">
            <w:pPr>
              <w:spacing w:after="0" w:line="283" w:lineRule="auto"/>
              <w:rPr>
                <w:rFonts w:asciiTheme="majorHAnsi" w:hAnsiTheme="majorHAnsi" w:cstheme="majorHAnsi"/>
                <w:sz w:val="16"/>
                <w:szCs w:val="16"/>
              </w:rPr>
            </w:pPr>
          </w:p>
          <w:p w14:paraId="205E811C" w14:textId="3F7FA0DC" w:rsidR="00CE252C"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Symposium</w:t>
            </w:r>
            <w:r w:rsidR="008A2460" w:rsidRPr="00F36AF2">
              <w:rPr>
                <w:rFonts w:asciiTheme="majorHAnsi" w:hAnsiTheme="majorHAnsi" w:cstheme="majorHAnsi"/>
                <w:sz w:val="16"/>
                <w:szCs w:val="16"/>
              </w:rPr>
              <w:t xml:space="preserve"> </w:t>
            </w:r>
            <w:r w:rsidR="00CE252C" w:rsidRPr="00F36AF2">
              <w:rPr>
                <w:rFonts w:asciiTheme="majorHAnsi" w:hAnsiTheme="majorHAnsi" w:cstheme="majorHAnsi"/>
                <w:sz w:val="16"/>
                <w:szCs w:val="16"/>
              </w:rPr>
              <w:t xml:space="preserve">arrangements could potentially negatively impact </w:t>
            </w:r>
            <w:r w:rsidRPr="00F36AF2">
              <w:rPr>
                <w:rFonts w:asciiTheme="majorHAnsi" w:hAnsiTheme="majorHAnsi" w:cstheme="majorHAnsi"/>
                <w:sz w:val="16"/>
                <w:szCs w:val="16"/>
              </w:rPr>
              <w:t>organisers or attendees</w:t>
            </w:r>
            <w:r w:rsidR="00CE252C" w:rsidRPr="00F36AF2">
              <w:rPr>
                <w:rFonts w:asciiTheme="majorHAnsi" w:hAnsiTheme="majorHAnsi" w:cstheme="majorHAnsi"/>
                <w:sz w:val="16"/>
                <w:szCs w:val="16"/>
              </w:rPr>
              <w:t xml:space="preserve"> with </w:t>
            </w:r>
            <w:r w:rsidRPr="00F36AF2">
              <w:rPr>
                <w:rFonts w:asciiTheme="majorHAnsi" w:hAnsiTheme="majorHAnsi" w:cstheme="majorHAnsi"/>
                <w:sz w:val="16"/>
                <w:szCs w:val="16"/>
              </w:rPr>
              <w:t xml:space="preserve">specific </w:t>
            </w:r>
            <w:r w:rsidR="00CE252C" w:rsidRPr="00F36AF2">
              <w:rPr>
                <w:rFonts w:asciiTheme="majorHAnsi" w:hAnsiTheme="majorHAnsi" w:cstheme="majorHAnsi"/>
                <w:sz w:val="16"/>
                <w:szCs w:val="16"/>
              </w:rPr>
              <w:t>religious or cultural beliefs</w:t>
            </w:r>
          </w:p>
          <w:p w14:paraId="648BC604" w14:textId="77777777" w:rsidR="00237A8C" w:rsidRPr="00F36AF2" w:rsidRDefault="00237A8C" w:rsidP="00552ABC">
            <w:pPr>
              <w:spacing w:after="0" w:line="283" w:lineRule="auto"/>
              <w:rPr>
                <w:rFonts w:asciiTheme="majorHAnsi" w:hAnsiTheme="majorHAnsi" w:cstheme="majorHAnsi"/>
                <w:sz w:val="16"/>
                <w:szCs w:val="16"/>
              </w:rPr>
            </w:pPr>
          </w:p>
          <w:p w14:paraId="53C4DDD3" w14:textId="77777777" w:rsidR="00237A8C" w:rsidRPr="00F36AF2" w:rsidRDefault="008A2460"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lastRenderedPageBreak/>
              <w:t>Delivery partners and audience members</w:t>
            </w:r>
            <w:r w:rsidR="00237A8C" w:rsidRPr="00F36AF2">
              <w:rPr>
                <w:rFonts w:asciiTheme="majorHAnsi" w:hAnsiTheme="majorHAnsi" w:cstheme="majorHAnsi"/>
                <w:sz w:val="16"/>
                <w:szCs w:val="16"/>
              </w:rPr>
              <w:t xml:space="preserve"> may be unable to participate in</w:t>
            </w:r>
            <w:r w:rsidRPr="00F36AF2">
              <w:rPr>
                <w:rFonts w:asciiTheme="majorHAnsi" w:hAnsiTheme="majorHAnsi" w:cstheme="majorHAnsi"/>
                <w:sz w:val="16"/>
                <w:szCs w:val="16"/>
              </w:rPr>
              <w:t xml:space="preserve"> events</w:t>
            </w:r>
            <w:r w:rsidR="00237A8C" w:rsidRPr="00F36AF2">
              <w:rPr>
                <w:rFonts w:asciiTheme="majorHAnsi" w:hAnsiTheme="majorHAnsi" w:cstheme="majorHAnsi"/>
                <w:sz w:val="16"/>
                <w:szCs w:val="16"/>
              </w:rPr>
              <w:t xml:space="preserve"> due to religious observances</w:t>
            </w:r>
          </w:p>
          <w:p w14:paraId="427ED379" w14:textId="77777777" w:rsidR="00237A8C" w:rsidRPr="00F36AF2" w:rsidRDefault="00237A8C" w:rsidP="00552ABC">
            <w:pPr>
              <w:spacing w:after="0" w:line="283" w:lineRule="auto"/>
              <w:rPr>
                <w:rFonts w:asciiTheme="majorHAnsi" w:eastAsia="Times New Roman" w:hAnsiTheme="majorHAnsi" w:cstheme="majorHAnsi"/>
                <w:sz w:val="16"/>
                <w:szCs w:val="16"/>
                <w:lang w:eastAsia="en-GB"/>
              </w:rPr>
            </w:pPr>
          </w:p>
          <w:p w14:paraId="64505832" w14:textId="6E9B909A" w:rsidR="00237A8C" w:rsidRPr="00F36AF2" w:rsidRDefault="007D40E1" w:rsidP="00552ABC">
            <w:pPr>
              <w:spacing w:after="0" w:line="283" w:lineRule="auto"/>
              <w:rPr>
                <w:rFonts w:asciiTheme="majorHAnsi" w:eastAsia="Times New Roman" w:hAnsiTheme="majorHAnsi" w:cstheme="majorHAnsi"/>
                <w:sz w:val="16"/>
                <w:szCs w:val="16"/>
                <w:lang w:eastAsia="en-GB"/>
              </w:rPr>
            </w:pPr>
            <w:r w:rsidRPr="00F36AF2">
              <w:rPr>
                <w:rFonts w:asciiTheme="majorHAnsi" w:eastAsia="Times New Roman" w:hAnsiTheme="majorHAnsi" w:cstheme="majorHAnsi"/>
                <w:sz w:val="16"/>
                <w:szCs w:val="16"/>
                <w:lang w:eastAsia="en-GB"/>
              </w:rPr>
              <w:t>Delivery partners</w:t>
            </w:r>
            <w:r w:rsidR="00237A8C" w:rsidRPr="00F36AF2">
              <w:rPr>
                <w:rFonts w:asciiTheme="majorHAnsi" w:eastAsia="Times New Roman" w:hAnsiTheme="majorHAnsi" w:cstheme="majorHAnsi"/>
                <w:sz w:val="16"/>
                <w:szCs w:val="16"/>
                <w:lang w:eastAsia="en-GB"/>
              </w:rPr>
              <w:t xml:space="preserve"> or attendees may have specific dietary requirements due to religious belief. </w:t>
            </w:r>
          </w:p>
        </w:tc>
        <w:tc>
          <w:tcPr>
            <w:tcW w:w="5892" w:type="dxa"/>
          </w:tcPr>
          <w:p w14:paraId="7C7D3822" w14:textId="77777777" w:rsidR="00F26087" w:rsidRPr="00F36AF2" w:rsidRDefault="00F26087" w:rsidP="00F26087">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lastRenderedPageBreak/>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6ADF7A4B" w14:textId="77777777" w:rsidR="00F26087" w:rsidRPr="00F36AF2" w:rsidRDefault="00F26087" w:rsidP="00F26087">
            <w:pPr>
              <w:spacing w:after="0" w:line="283" w:lineRule="auto"/>
              <w:rPr>
                <w:rFonts w:asciiTheme="majorHAnsi" w:hAnsiTheme="majorHAnsi" w:cstheme="majorHAnsi"/>
                <w:sz w:val="16"/>
                <w:szCs w:val="16"/>
              </w:rPr>
            </w:pPr>
          </w:p>
          <w:p w14:paraId="75136818" w14:textId="37580124" w:rsidR="00F26087" w:rsidRPr="00F36AF2" w:rsidRDefault="00F26087" w:rsidP="00F26087">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Code of Conduct also makes clear the organisers’ expectations of symposium presenters and workshop leaders. The organising partners and host institution commit to doing all in their power to minimise the chance of the symposium design being discriminatory against any </w:t>
            </w:r>
            <w:r w:rsidR="009D4240" w:rsidRPr="00F36AF2">
              <w:rPr>
                <w:rFonts w:asciiTheme="majorHAnsi" w:hAnsiTheme="majorHAnsi" w:cstheme="majorHAnsi"/>
                <w:sz w:val="16"/>
                <w:szCs w:val="16"/>
              </w:rPr>
              <w:t>societal</w:t>
            </w:r>
            <w:r w:rsidRPr="00F36AF2">
              <w:rPr>
                <w:rFonts w:asciiTheme="majorHAnsi" w:hAnsiTheme="majorHAnsi" w:cstheme="majorHAnsi"/>
                <w:sz w:val="16"/>
                <w:szCs w:val="16"/>
              </w:rPr>
              <w:t xml:space="preserve"> group.</w:t>
            </w:r>
          </w:p>
          <w:p w14:paraId="3F086CB1" w14:textId="77777777" w:rsidR="00F26087" w:rsidRPr="00F36AF2" w:rsidRDefault="00F26087" w:rsidP="00F26087">
            <w:pPr>
              <w:spacing w:after="0" w:line="283" w:lineRule="auto"/>
              <w:rPr>
                <w:rFonts w:asciiTheme="majorHAnsi" w:hAnsiTheme="majorHAnsi" w:cstheme="majorHAnsi"/>
                <w:sz w:val="16"/>
                <w:szCs w:val="16"/>
              </w:rPr>
            </w:pPr>
          </w:p>
          <w:p w14:paraId="7954729E" w14:textId="48006643" w:rsidR="00237A8C" w:rsidRPr="00F36AF2" w:rsidRDefault="00F26087" w:rsidP="00F26087">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organising partners and host institution will take all reasonable steps to e</w:t>
            </w:r>
            <w:r w:rsidR="00237A8C" w:rsidRPr="00F36AF2">
              <w:rPr>
                <w:rFonts w:asciiTheme="majorHAnsi" w:hAnsiTheme="majorHAnsi" w:cstheme="majorHAnsi"/>
                <w:sz w:val="16"/>
                <w:szCs w:val="16"/>
              </w:rPr>
              <w:t xml:space="preserve">nsure differences in religious or cultural beliefs do not prevent </w:t>
            </w:r>
            <w:r w:rsidRPr="00F36AF2">
              <w:rPr>
                <w:rFonts w:asciiTheme="majorHAnsi" w:hAnsiTheme="majorHAnsi" w:cstheme="majorHAnsi"/>
                <w:sz w:val="16"/>
                <w:szCs w:val="16"/>
              </w:rPr>
              <w:t>individuals</w:t>
            </w:r>
            <w:r w:rsidR="00237A8C" w:rsidRPr="00F36AF2">
              <w:rPr>
                <w:rFonts w:asciiTheme="majorHAnsi" w:hAnsiTheme="majorHAnsi" w:cstheme="majorHAnsi"/>
                <w:sz w:val="16"/>
                <w:szCs w:val="16"/>
              </w:rPr>
              <w:t xml:space="preserve"> from working together</w:t>
            </w:r>
            <w:r w:rsidRPr="00F36AF2">
              <w:rPr>
                <w:rFonts w:asciiTheme="majorHAnsi" w:hAnsiTheme="majorHAnsi" w:cstheme="majorHAnsi"/>
                <w:sz w:val="16"/>
                <w:szCs w:val="16"/>
              </w:rPr>
              <w:t xml:space="preserve"> or attending the symposium</w:t>
            </w:r>
            <w:r w:rsidR="00237A8C" w:rsidRPr="00F36AF2">
              <w:rPr>
                <w:rFonts w:asciiTheme="majorHAnsi" w:hAnsiTheme="majorHAnsi" w:cstheme="majorHAnsi"/>
                <w:sz w:val="16"/>
                <w:szCs w:val="16"/>
              </w:rPr>
              <w:t>.</w:t>
            </w:r>
          </w:p>
          <w:p w14:paraId="37BE0C4A" w14:textId="77777777" w:rsidR="00237A8C" w:rsidRPr="00F36AF2" w:rsidRDefault="00237A8C" w:rsidP="00552ABC">
            <w:pPr>
              <w:spacing w:after="0" w:line="283" w:lineRule="auto"/>
              <w:rPr>
                <w:rFonts w:asciiTheme="majorHAnsi" w:hAnsiTheme="majorHAnsi" w:cstheme="majorHAnsi"/>
                <w:sz w:val="16"/>
                <w:szCs w:val="16"/>
              </w:rPr>
            </w:pPr>
          </w:p>
          <w:p w14:paraId="10EA3426" w14:textId="5CA3998A" w:rsidR="00237A8C" w:rsidRPr="00F36AF2" w:rsidRDefault="00237A8C"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lastRenderedPageBreak/>
              <w:t xml:space="preserve">Consideration will be given to the timing of </w:t>
            </w:r>
            <w:r w:rsidR="00F26087" w:rsidRPr="00F36AF2">
              <w:rPr>
                <w:rFonts w:asciiTheme="majorHAnsi" w:hAnsiTheme="majorHAnsi" w:cstheme="majorHAnsi"/>
                <w:sz w:val="16"/>
                <w:szCs w:val="16"/>
              </w:rPr>
              <w:t>the symposium</w:t>
            </w:r>
            <w:r w:rsidR="008A2460" w:rsidRPr="00F36AF2">
              <w:rPr>
                <w:rFonts w:asciiTheme="majorHAnsi" w:hAnsiTheme="majorHAnsi" w:cstheme="majorHAnsi"/>
                <w:sz w:val="16"/>
                <w:szCs w:val="16"/>
              </w:rPr>
              <w:t xml:space="preserve"> so that delivery partners and </w:t>
            </w:r>
            <w:r w:rsidR="007D40E1" w:rsidRPr="00F36AF2">
              <w:rPr>
                <w:rFonts w:asciiTheme="majorHAnsi" w:hAnsiTheme="majorHAnsi" w:cstheme="majorHAnsi"/>
                <w:sz w:val="16"/>
                <w:szCs w:val="16"/>
              </w:rPr>
              <w:t>audiences</w:t>
            </w:r>
            <w:r w:rsidRPr="00F36AF2">
              <w:rPr>
                <w:rFonts w:asciiTheme="majorHAnsi" w:hAnsiTheme="majorHAnsi" w:cstheme="majorHAnsi"/>
                <w:sz w:val="16"/>
                <w:szCs w:val="16"/>
              </w:rPr>
              <w:t xml:space="preserve"> from different religious communities can attend.</w:t>
            </w:r>
          </w:p>
          <w:p w14:paraId="03DF514D" w14:textId="77777777" w:rsidR="00237A8C" w:rsidRPr="00F36AF2" w:rsidRDefault="00237A8C" w:rsidP="00552ABC">
            <w:pPr>
              <w:spacing w:after="0" w:line="283" w:lineRule="auto"/>
              <w:rPr>
                <w:rFonts w:asciiTheme="majorHAnsi" w:hAnsiTheme="majorHAnsi" w:cstheme="majorHAnsi"/>
                <w:sz w:val="16"/>
                <w:szCs w:val="16"/>
              </w:rPr>
            </w:pPr>
          </w:p>
          <w:p w14:paraId="02076FB5" w14:textId="4C0413C5" w:rsidR="00EF7BEE" w:rsidRPr="00F36AF2" w:rsidRDefault="00F26087"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host organisation commits to ensuring that</w:t>
            </w:r>
            <w:r w:rsidR="00237A8C" w:rsidRPr="00F36AF2">
              <w:rPr>
                <w:rFonts w:asciiTheme="majorHAnsi" w:hAnsiTheme="majorHAnsi" w:cstheme="majorHAnsi"/>
                <w:sz w:val="16"/>
                <w:szCs w:val="16"/>
              </w:rPr>
              <w:t xml:space="preserve"> t</w:t>
            </w:r>
            <w:r w:rsidR="006A5F34" w:rsidRPr="00F36AF2">
              <w:rPr>
                <w:rFonts w:asciiTheme="majorHAnsi" w:hAnsiTheme="majorHAnsi" w:cstheme="majorHAnsi"/>
                <w:sz w:val="16"/>
                <w:szCs w:val="16"/>
              </w:rPr>
              <w:t xml:space="preserve">he venue caters for all </w:t>
            </w:r>
            <w:r w:rsidRPr="00F36AF2">
              <w:rPr>
                <w:rFonts w:asciiTheme="majorHAnsi" w:hAnsiTheme="majorHAnsi" w:cstheme="majorHAnsi"/>
                <w:sz w:val="16"/>
                <w:szCs w:val="16"/>
              </w:rPr>
              <w:t xml:space="preserve">reasonable </w:t>
            </w:r>
            <w:r w:rsidR="006A5F34" w:rsidRPr="00F36AF2">
              <w:rPr>
                <w:rFonts w:asciiTheme="majorHAnsi" w:hAnsiTheme="majorHAnsi" w:cstheme="majorHAnsi"/>
                <w:sz w:val="16"/>
                <w:szCs w:val="16"/>
              </w:rPr>
              <w:t xml:space="preserve">dietary </w:t>
            </w:r>
            <w:r w:rsidR="00237A8C" w:rsidRPr="00F36AF2">
              <w:rPr>
                <w:rFonts w:asciiTheme="majorHAnsi" w:hAnsiTheme="majorHAnsi" w:cstheme="majorHAnsi"/>
                <w:sz w:val="16"/>
                <w:szCs w:val="16"/>
              </w:rPr>
              <w:t>requirements.</w:t>
            </w:r>
          </w:p>
        </w:tc>
      </w:tr>
      <w:tr w:rsidR="00CE252C" w:rsidRPr="000861DF" w14:paraId="51D7B451" w14:textId="77777777" w:rsidTr="00F36AF2">
        <w:tc>
          <w:tcPr>
            <w:tcW w:w="2310" w:type="dxa"/>
            <w:shd w:val="clear" w:color="auto" w:fill="B4C6E7" w:themeFill="accent5" w:themeFillTint="66"/>
          </w:tcPr>
          <w:p w14:paraId="4691A3A7" w14:textId="77777777" w:rsidR="00CE252C" w:rsidRPr="000861DF" w:rsidRDefault="00CE252C" w:rsidP="00552ABC">
            <w:pPr>
              <w:spacing w:after="0" w:line="283" w:lineRule="auto"/>
              <w:rPr>
                <w:rFonts w:cs="Arial"/>
                <w:b/>
                <w:color w:val="000000" w:themeColor="text1"/>
              </w:rPr>
            </w:pPr>
            <w:r w:rsidRPr="000861DF">
              <w:rPr>
                <w:rFonts w:cs="Arial"/>
                <w:b/>
                <w:color w:val="000000" w:themeColor="text1"/>
              </w:rPr>
              <w:lastRenderedPageBreak/>
              <w:t>Sexual orientation</w:t>
            </w:r>
          </w:p>
        </w:tc>
        <w:tc>
          <w:tcPr>
            <w:tcW w:w="1716" w:type="dxa"/>
          </w:tcPr>
          <w:p w14:paraId="21DE2762" w14:textId="71F0E6ED" w:rsidR="00CE252C" w:rsidRPr="00F36AF2" w:rsidRDefault="001B655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potential negative impact </w:t>
            </w:r>
          </w:p>
          <w:p w14:paraId="6299A381" w14:textId="77777777" w:rsidR="00CE252C" w:rsidRPr="00F36AF2" w:rsidRDefault="00CE252C" w:rsidP="00552ABC">
            <w:pPr>
              <w:spacing w:after="0" w:line="283" w:lineRule="auto"/>
              <w:rPr>
                <w:rFonts w:asciiTheme="majorHAnsi" w:hAnsiTheme="majorHAnsi" w:cstheme="majorHAnsi"/>
                <w:sz w:val="16"/>
                <w:szCs w:val="16"/>
              </w:rPr>
            </w:pPr>
          </w:p>
        </w:tc>
        <w:tc>
          <w:tcPr>
            <w:tcW w:w="4111" w:type="dxa"/>
          </w:tcPr>
          <w:p w14:paraId="7C55CACA" w14:textId="12016976" w:rsidR="001B6556" w:rsidRPr="00F36AF2" w:rsidRDefault="001B6556" w:rsidP="001B6556">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societal or cultural attitudes of some attendees regarding sexual orientation may affect other individuals.</w:t>
            </w:r>
          </w:p>
          <w:p w14:paraId="35E02B4F" w14:textId="0330A5D0" w:rsidR="00CE252C" w:rsidRPr="00F36AF2" w:rsidRDefault="00CE252C" w:rsidP="00552ABC">
            <w:pPr>
              <w:spacing w:after="0" w:line="283" w:lineRule="auto"/>
              <w:rPr>
                <w:rFonts w:asciiTheme="majorHAnsi" w:hAnsiTheme="majorHAnsi" w:cstheme="majorHAnsi"/>
                <w:sz w:val="16"/>
                <w:szCs w:val="16"/>
              </w:rPr>
            </w:pPr>
          </w:p>
        </w:tc>
        <w:tc>
          <w:tcPr>
            <w:tcW w:w="5892" w:type="dxa"/>
          </w:tcPr>
          <w:p w14:paraId="26B60892" w14:textId="77777777" w:rsidR="001B6556" w:rsidRPr="00F36AF2" w:rsidRDefault="001B6556" w:rsidP="001B6556">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307398EA" w14:textId="77777777" w:rsidR="001B6556" w:rsidRPr="00F36AF2" w:rsidRDefault="001B6556" w:rsidP="001B6556">
            <w:pPr>
              <w:spacing w:after="0" w:line="283" w:lineRule="auto"/>
              <w:rPr>
                <w:rFonts w:asciiTheme="majorHAnsi" w:hAnsiTheme="majorHAnsi" w:cstheme="majorHAnsi"/>
                <w:sz w:val="16"/>
                <w:szCs w:val="16"/>
              </w:rPr>
            </w:pPr>
          </w:p>
          <w:p w14:paraId="71B1ECD6" w14:textId="01397F21" w:rsidR="00CE252C" w:rsidRPr="00F36AF2" w:rsidRDefault="001B6556" w:rsidP="00552ABC">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The Code of Conduct also makes clear the organisers’ expectations of symposium presenters and workshop leaders. The organising partners and host institution commit to doing all in their power to minimise the chance of the symposium design being discriminatory against any </w:t>
            </w:r>
            <w:r w:rsidR="009D4240" w:rsidRPr="00F36AF2">
              <w:rPr>
                <w:rFonts w:asciiTheme="majorHAnsi" w:hAnsiTheme="majorHAnsi" w:cstheme="majorHAnsi"/>
                <w:sz w:val="16"/>
                <w:szCs w:val="16"/>
              </w:rPr>
              <w:t>societal</w:t>
            </w:r>
            <w:r w:rsidRPr="00F36AF2">
              <w:rPr>
                <w:rFonts w:asciiTheme="majorHAnsi" w:hAnsiTheme="majorHAnsi" w:cstheme="majorHAnsi"/>
                <w:sz w:val="16"/>
                <w:szCs w:val="16"/>
              </w:rPr>
              <w:t xml:space="preserve"> group.</w:t>
            </w:r>
          </w:p>
        </w:tc>
      </w:tr>
      <w:tr w:rsidR="009D4240" w:rsidRPr="000861DF" w14:paraId="70CB91F3" w14:textId="77777777" w:rsidTr="00F36AF2">
        <w:tc>
          <w:tcPr>
            <w:tcW w:w="2310" w:type="dxa"/>
            <w:shd w:val="clear" w:color="auto" w:fill="B4C6E7" w:themeFill="accent5" w:themeFillTint="66"/>
          </w:tcPr>
          <w:p w14:paraId="5B2D7AE4" w14:textId="77777777" w:rsidR="009D4240" w:rsidRPr="000861DF" w:rsidRDefault="009D4240" w:rsidP="00552ABC">
            <w:pPr>
              <w:spacing w:after="0" w:line="283" w:lineRule="auto"/>
              <w:rPr>
                <w:rFonts w:cs="Arial"/>
                <w:b/>
                <w:color w:val="000000" w:themeColor="text1"/>
              </w:rPr>
            </w:pPr>
            <w:r w:rsidRPr="000861DF">
              <w:rPr>
                <w:rFonts w:cs="Arial"/>
                <w:b/>
                <w:color w:val="000000" w:themeColor="text1"/>
              </w:rPr>
              <w:t>Sex (gender)</w:t>
            </w:r>
          </w:p>
        </w:tc>
        <w:tc>
          <w:tcPr>
            <w:tcW w:w="1716" w:type="dxa"/>
          </w:tcPr>
          <w:p w14:paraId="7357B8EC" w14:textId="77777777" w:rsidR="009D4240" w:rsidRPr="00F36AF2" w:rsidRDefault="009D4240" w:rsidP="00046E0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potential negative impact </w:t>
            </w:r>
          </w:p>
          <w:p w14:paraId="251295E0" w14:textId="77777777" w:rsidR="009D4240" w:rsidRPr="00F36AF2" w:rsidRDefault="009D4240" w:rsidP="00552ABC">
            <w:pPr>
              <w:spacing w:after="0" w:line="283" w:lineRule="auto"/>
              <w:rPr>
                <w:rFonts w:asciiTheme="majorHAnsi" w:hAnsiTheme="majorHAnsi" w:cstheme="majorHAnsi"/>
                <w:color w:val="7F7F7F" w:themeColor="text1" w:themeTint="80"/>
                <w:sz w:val="16"/>
                <w:szCs w:val="16"/>
              </w:rPr>
            </w:pPr>
          </w:p>
        </w:tc>
        <w:tc>
          <w:tcPr>
            <w:tcW w:w="4111" w:type="dxa"/>
          </w:tcPr>
          <w:p w14:paraId="00AFC8F5" w14:textId="5BED99AC"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societal or cultural attitudes of some attendees regarding gender may affect other individuals.</w:t>
            </w:r>
          </w:p>
          <w:p w14:paraId="57E5AB48" w14:textId="77777777" w:rsidR="009D4240" w:rsidRPr="00F36AF2" w:rsidRDefault="009D4240" w:rsidP="00552ABC">
            <w:pPr>
              <w:spacing w:after="0" w:line="283" w:lineRule="auto"/>
              <w:rPr>
                <w:rFonts w:asciiTheme="majorHAnsi" w:hAnsiTheme="majorHAnsi" w:cstheme="majorHAnsi"/>
                <w:sz w:val="16"/>
                <w:szCs w:val="16"/>
              </w:rPr>
            </w:pPr>
          </w:p>
        </w:tc>
        <w:tc>
          <w:tcPr>
            <w:tcW w:w="5892" w:type="dxa"/>
          </w:tcPr>
          <w:p w14:paraId="354EAB50" w14:textId="77777777"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260EE040" w14:textId="77777777" w:rsidR="009D4240" w:rsidRPr="00F36AF2" w:rsidRDefault="009D4240" w:rsidP="009D4240">
            <w:pPr>
              <w:spacing w:after="0" w:line="283" w:lineRule="auto"/>
              <w:rPr>
                <w:rFonts w:asciiTheme="majorHAnsi" w:hAnsiTheme="majorHAnsi" w:cstheme="majorHAnsi"/>
                <w:sz w:val="16"/>
                <w:szCs w:val="16"/>
              </w:rPr>
            </w:pPr>
          </w:p>
          <w:p w14:paraId="293EFF0E" w14:textId="725DE734"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Code of Conduct also makes clear the organisers’ expectations of symposium presenters and workshop leaders. The organising partners and host institution commit to doing all in their power to minimise the chance of the symposium design being discriminatory against any societal group.</w:t>
            </w:r>
          </w:p>
        </w:tc>
      </w:tr>
      <w:tr w:rsidR="009D4240" w:rsidRPr="000861DF" w14:paraId="178F12D5" w14:textId="77777777" w:rsidTr="00F36AF2">
        <w:tc>
          <w:tcPr>
            <w:tcW w:w="2310" w:type="dxa"/>
            <w:shd w:val="clear" w:color="auto" w:fill="B4C6E7" w:themeFill="accent5" w:themeFillTint="66"/>
          </w:tcPr>
          <w:p w14:paraId="4CAB1DA0" w14:textId="77777777" w:rsidR="009D4240" w:rsidRPr="000861DF" w:rsidRDefault="009D4240" w:rsidP="00552ABC">
            <w:pPr>
              <w:spacing w:after="0" w:line="283" w:lineRule="auto"/>
              <w:rPr>
                <w:rFonts w:cs="Arial"/>
                <w:b/>
                <w:color w:val="000000" w:themeColor="text1"/>
              </w:rPr>
            </w:pPr>
            <w:r w:rsidRPr="000861DF">
              <w:rPr>
                <w:rFonts w:cs="Arial"/>
                <w:b/>
                <w:color w:val="000000" w:themeColor="text1"/>
              </w:rPr>
              <w:t>Age</w:t>
            </w:r>
          </w:p>
        </w:tc>
        <w:tc>
          <w:tcPr>
            <w:tcW w:w="1716" w:type="dxa"/>
          </w:tcPr>
          <w:p w14:paraId="6E50D3AF" w14:textId="77777777" w:rsidR="009D4240" w:rsidRPr="00F36AF2" w:rsidRDefault="009D4240" w:rsidP="00046E0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 xml:space="preserve">Yes – potential negative impact </w:t>
            </w:r>
          </w:p>
          <w:p w14:paraId="16D5965B" w14:textId="77777777" w:rsidR="009D4240" w:rsidRPr="00F36AF2" w:rsidRDefault="009D4240" w:rsidP="00552ABC">
            <w:pPr>
              <w:spacing w:after="0" w:line="283" w:lineRule="auto"/>
              <w:rPr>
                <w:rFonts w:asciiTheme="majorHAnsi" w:hAnsiTheme="majorHAnsi" w:cstheme="majorHAnsi"/>
                <w:color w:val="7F7F7F" w:themeColor="text1" w:themeTint="80"/>
                <w:sz w:val="16"/>
                <w:szCs w:val="16"/>
              </w:rPr>
            </w:pPr>
          </w:p>
        </w:tc>
        <w:tc>
          <w:tcPr>
            <w:tcW w:w="4111" w:type="dxa"/>
          </w:tcPr>
          <w:p w14:paraId="4D486649" w14:textId="349C41B5"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societal or cultural attitudes of some attendees regarding age may affect other individuals.</w:t>
            </w:r>
          </w:p>
          <w:p w14:paraId="1AF5E386" w14:textId="54C60F5E" w:rsidR="009D4240" w:rsidRPr="00F36AF2" w:rsidRDefault="009D4240" w:rsidP="00552ABC">
            <w:pPr>
              <w:spacing w:after="0" w:line="283" w:lineRule="auto"/>
              <w:rPr>
                <w:rFonts w:asciiTheme="majorHAnsi" w:hAnsiTheme="majorHAnsi" w:cstheme="majorHAnsi"/>
                <w:sz w:val="16"/>
                <w:szCs w:val="16"/>
              </w:rPr>
            </w:pPr>
          </w:p>
        </w:tc>
        <w:tc>
          <w:tcPr>
            <w:tcW w:w="5892" w:type="dxa"/>
          </w:tcPr>
          <w:p w14:paraId="3FFA9FD8" w14:textId="77777777"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symposium’s Code of Conduct, which all attendees must acknowledge at the point of registering for the symposium, makes clear that all attendees are to be treated with equal dignity and respect. Staff from the organising partners and host institution will be on hand to monitor compliance with the Code of Conduct.</w:t>
            </w:r>
          </w:p>
          <w:p w14:paraId="0CD2F684" w14:textId="77777777" w:rsidR="009D4240" w:rsidRPr="00F36AF2" w:rsidRDefault="009D4240" w:rsidP="009D4240">
            <w:pPr>
              <w:spacing w:after="0" w:line="283" w:lineRule="auto"/>
              <w:rPr>
                <w:rFonts w:asciiTheme="majorHAnsi" w:hAnsiTheme="majorHAnsi" w:cstheme="majorHAnsi"/>
                <w:sz w:val="16"/>
                <w:szCs w:val="16"/>
              </w:rPr>
            </w:pPr>
          </w:p>
          <w:p w14:paraId="64FB4B92" w14:textId="6DAACF2A" w:rsidR="009D4240" w:rsidRPr="00F36AF2" w:rsidRDefault="009D4240" w:rsidP="009D4240">
            <w:pPr>
              <w:spacing w:after="0" w:line="283" w:lineRule="auto"/>
              <w:rPr>
                <w:rFonts w:asciiTheme="majorHAnsi" w:hAnsiTheme="majorHAnsi" w:cstheme="majorHAnsi"/>
                <w:sz w:val="16"/>
                <w:szCs w:val="16"/>
              </w:rPr>
            </w:pPr>
            <w:r w:rsidRPr="00F36AF2">
              <w:rPr>
                <w:rFonts w:asciiTheme="majorHAnsi" w:hAnsiTheme="majorHAnsi" w:cstheme="majorHAnsi"/>
                <w:sz w:val="16"/>
                <w:szCs w:val="16"/>
              </w:rPr>
              <w:t>The Code of Conduct also makes clear the organisers’ expectations of symposium presenters and workshop leaders. The organising partners and host institution commit to doing all in their power to minimise the chance of the symposium design being discriminatory against any societal group.</w:t>
            </w:r>
          </w:p>
        </w:tc>
      </w:tr>
    </w:tbl>
    <w:p w14:paraId="1238877F" w14:textId="77777777" w:rsidR="00541449" w:rsidRPr="000861DF" w:rsidRDefault="00541449" w:rsidP="00F26087">
      <w:pPr>
        <w:spacing w:after="0" w:line="283" w:lineRule="auto"/>
      </w:pPr>
    </w:p>
    <w:sectPr w:rsidR="00541449" w:rsidRPr="000861DF" w:rsidSect="000521A1">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00E85" w14:textId="77777777" w:rsidR="00C86178" w:rsidRDefault="00C86178">
      <w:pPr>
        <w:spacing w:after="0" w:line="240" w:lineRule="auto"/>
      </w:pPr>
      <w:r>
        <w:separator/>
      </w:r>
    </w:p>
  </w:endnote>
  <w:endnote w:type="continuationSeparator" w:id="0">
    <w:p w14:paraId="0666955C" w14:textId="77777777" w:rsidR="00C86178" w:rsidRDefault="00C8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DADA0" w14:textId="77777777" w:rsidR="00BC3A7A" w:rsidRDefault="00172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F484C" w14:textId="77777777" w:rsidR="00BC3A7A" w:rsidRDefault="00172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8790" w14:textId="77777777" w:rsidR="00BC3A7A" w:rsidRDefault="00172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58150" w14:textId="77777777" w:rsidR="00C86178" w:rsidRDefault="00C86178">
      <w:pPr>
        <w:spacing w:after="0" w:line="240" w:lineRule="auto"/>
      </w:pPr>
      <w:r>
        <w:separator/>
      </w:r>
    </w:p>
  </w:footnote>
  <w:footnote w:type="continuationSeparator" w:id="0">
    <w:p w14:paraId="4A6364E3" w14:textId="77777777" w:rsidR="00C86178" w:rsidRDefault="00C8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07B59" w14:textId="77777777" w:rsidR="00BC3A7A" w:rsidRDefault="00172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567AB" w14:textId="53AEC36F" w:rsidR="00273731" w:rsidRPr="00BC3A7A" w:rsidRDefault="00CE252C">
    <w:pPr>
      <w:pStyle w:val="Header"/>
      <w:rPr>
        <w:rFonts w:ascii="Arial" w:hAnsi="Arial" w:cs="Arial"/>
      </w:rPr>
    </w:pPr>
    <w:r w:rsidRPr="00BC3A7A">
      <w:rPr>
        <w:rFonts w:ascii="Arial" w:hAnsi="Arial" w:cs="Arial"/>
      </w:rPr>
      <w:t>OFFICIAL</w:t>
    </w:r>
    <w:r w:rsidRPr="00BC3A7A">
      <w:rPr>
        <w:rFonts w:ascii="Arial" w:hAnsi="Arial" w:cs="Arial"/>
      </w:rPr>
      <w:tab/>
    </w:r>
    <w:r w:rsidRPr="00BC3A7A">
      <w:rPr>
        <w:rFonts w:ascii="Arial" w:hAnsi="Arial" w:cs="Arial"/>
      </w:rPr>
      <w:tab/>
    </w:r>
    <w:r w:rsidRPr="00BC3A7A">
      <w:rPr>
        <w:rFonts w:ascii="Arial" w:hAnsi="Arial" w:cs="Arial"/>
      </w:rPr>
      <w:tab/>
    </w:r>
    <w:r w:rsidRPr="00BC3A7A">
      <w:rPr>
        <w:rFonts w:ascii="Arial" w:hAnsi="Arial" w:cs="Arial"/>
      </w:rPr>
      <w:tab/>
    </w:r>
    <w:r w:rsidRPr="00BC3A7A">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58E4" w14:textId="77777777" w:rsidR="00BC3A7A" w:rsidRDefault="00172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D2071"/>
    <w:multiLevelType w:val="hybridMultilevel"/>
    <w:tmpl w:val="8EB2C03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67E03FF"/>
    <w:multiLevelType w:val="hybridMultilevel"/>
    <w:tmpl w:val="1B1ECC42"/>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F5CC1"/>
    <w:multiLevelType w:val="hybridMultilevel"/>
    <w:tmpl w:val="493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A680D"/>
    <w:multiLevelType w:val="hybridMultilevel"/>
    <w:tmpl w:val="3E128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9F735F"/>
    <w:multiLevelType w:val="hybridMultilevel"/>
    <w:tmpl w:val="30442A5A"/>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A1380"/>
    <w:multiLevelType w:val="hybridMultilevel"/>
    <w:tmpl w:val="1318D2FC"/>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D2CD7"/>
    <w:multiLevelType w:val="hybridMultilevel"/>
    <w:tmpl w:val="D8AE24F6"/>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E3036"/>
    <w:multiLevelType w:val="hybridMultilevel"/>
    <w:tmpl w:val="9DCC06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D1D0C"/>
    <w:multiLevelType w:val="hybridMultilevel"/>
    <w:tmpl w:val="3A82E68C"/>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F60CD"/>
    <w:multiLevelType w:val="hybridMultilevel"/>
    <w:tmpl w:val="ADF2C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D72904"/>
    <w:multiLevelType w:val="hybridMultilevel"/>
    <w:tmpl w:val="8804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13D97"/>
    <w:multiLevelType w:val="hybridMultilevel"/>
    <w:tmpl w:val="C39CCE88"/>
    <w:lvl w:ilvl="0" w:tplc="CC3A8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B97B6F"/>
    <w:multiLevelType w:val="hybridMultilevel"/>
    <w:tmpl w:val="534E4954"/>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F5A3B"/>
    <w:multiLevelType w:val="hybridMultilevel"/>
    <w:tmpl w:val="C3D68104"/>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530E4"/>
    <w:multiLevelType w:val="hybridMultilevel"/>
    <w:tmpl w:val="ACA4C2F4"/>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C63BB"/>
    <w:multiLevelType w:val="hybridMultilevel"/>
    <w:tmpl w:val="E95E7BCA"/>
    <w:lvl w:ilvl="0" w:tplc="2278DE8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C57EE"/>
    <w:multiLevelType w:val="hybridMultilevel"/>
    <w:tmpl w:val="20A48F3E"/>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62E79"/>
    <w:multiLevelType w:val="hybridMultilevel"/>
    <w:tmpl w:val="38AEE944"/>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82BD1"/>
    <w:multiLevelType w:val="hybridMultilevel"/>
    <w:tmpl w:val="73086A40"/>
    <w:lvl w:ilvl="0" w:tplc="2278DE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513D8"/>
    <w:multiLevelType w:val="hybridMultilevel"/>
    <w:tmpl w:val="FB6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
  </w:num>
  <w:num w:numId="5">
    <w:abstractNumId w:val="5"/>
  </w:num>
  <w:num w:numId="6">
    <w:abstractNumId w:val="9"/>
  </w:num>
  <w:num w:numId="7">
    <w:abstractNumId w:val="19"/>
  </w:num>
  <w:num w:numId="8">
    <w:abstractNumId w:val="20"/>
  </w:num>
  <w:num w:numId="9">
    <w:abstractNumId w:val="16"/>
  </w:num>
  <w:num w:numId="10">
    <w:abstractNumId w:val="18"/>
  </w:num>
  <w:num w:numId="11">
    <w:abstractNumId w:val="7"/>
  </w:num>
  <w:num w:numId="12">
    <w:abstractNumId w:val="6"/>
  </w:num>
  <w:num w:numId="13">
    <w:abstractNumId w:val="15"/>
  </w:num>
  <w:num w:numId="14">
    <w:abstractNumId w:val="17"/>
  </w:num>
  <w:num w:numId="15">
    <w:abstractNumId w:val="21"/>
  </w:num>
  <w:num w:numId="16">
    <w:abstractNumId w:val="2"/>
  </w:num>
  <w:num w:numId="17">
    <w:abstractNumId w:val="10"/>
  </w:num>
  <w:num w:numId="18">
    <w:abstractNumId w:val="3"/>
  </w:num>
  <w:num w:numId="19">
    <w:abstractNumId w:val="0"/>
  </w:num>
  <w:num w:numId="20">
    <w:abstractNumId w:val="13"/>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2C"/>
    <w:rsid w:val="0002160A"/>
    <w:rsid w:val="00061BEA"/>
    <w:rsid w:val="00085E55"/>
    <w:rsid w:val="000861DF"/>
    <w:rsid w:val="00086FB1"/>
    <w:rsid w:val="00095DDB"/>
    <w:rsid w:val="000D56CE"/>
    <w:rsid w:val="00106E20"/>
    <w:rsid w:val="00123A04"/>
    <w:rsid w:val="00135759"/>
    <w:rsid w:val="00172C0F"/>
    <w:rsid w:val="0018216A"/>
    <w:rsid w:val="001A778A"/>
    <w:rsid w:val="001B58BC"/>
    <w:rsid w:val="001B6556"/>
    <w:rsid w:val="00237A8C"/>
    <w:rsid w:val="0024739F"/>
    <w:rsid w:val="00270CDB"/>
    <w:rsid w:val="00307B60"/>
    <w:rsid w:val="003209E4"/>
    <w:rsid w:val="00350F3A"/>
    <w:rsid w:val="00393D2B"/>
    <w:rsid w:val="003A2A36"/>
    <w:rsid w:val="003E2940"/>
    <w:rsid w:val="00404007"/>
    <w:rsid w:val="00423155"/>
    <w:rsid w:val="00431D83"/>
    <w:rsid w:val="00465A55"/>
    <w:rsid w:val="00484E39"/>
    <w:rsid w:val="004A0616"/>
    <w:rsid w:val="004A625B"/>
    <w:rsid w:val="004B68A1"/>
    <w:rsid w:val="004C2FA4"/>
    <w:rsid w:val="004D0014"/>
    <w:rsid w:val="00532FE8"/>
    <w:rsid w:val="005377DB"/>
    <w:rsid w:val="00541449"/>
    <w:rsid w:val="00552ABC"/>
    <w:rsid w:val="0055514F"/>
    <w:rsid w:val="00564927"/>
    <w:rsid w:val="005673F0"/>
    <w:rsid w:val="00573270"/>
    <w:rsid w:val="006958F3"/>
    <w:rsid w:val="006A5F34"/>
    <w:rsid w:val="006B229B"/>
    <w:rsid w:val="00733B33"/>
    <w:rsid w:val="00753EDF"/>
    <w:rsid w:val="007A044A"/>
    <w:rsid w:val="007D40E1"/>
    <w:rsid w:val="008A2460"/>
    <w:rsid w:val="00943C1F"/>
    <w:rsid w:val="009A0D40"/>
    <w:rsid w:val="009B03C5"/>
    <w:rsid w:val="009D4240"/>
    <w:rsid w:val="009E018F"/>
    <w:rsid w:val="00A0504A"/>
    <w:rsid w:val="00AE130E"/>
    <w:rsid w:val="00BD1F8F"/>
    <w:rsid w:val="00BE0C4D"/>
    <w:rsid w:val="00C321FD"/>
    <w:rsid w:val="00C44850"/>
    <w:rsid w:val="00C566CC"/>
    <w:rsid w:val="00C677A2"/>
    <w:rsid w:val="00C86178"/>
    <w:rsid w:val="00CA6878"/>
    <w:rsid w:val="00CD2560"/>
    <w:rsid w:val="00CE252C"/>
    <w:rsid w:val="00D65BF9"/>
    <w:rsid w:val="00D72A81"/>
    <w:rsid w:val="00D74C7F"/>
    <w:rsid w:val="00DB3845"/>
    <w:rsid w:val="00DD0691"/>
    <w:rsid w:val="00DF03C5"/>
    <w:rsid w:val="00DF7C45"/>
    <w:rsid w:val="00EE3E68"/>
    <w:rsid w:val="00EF7BEE"/>
    <w:rsid w:val="00F2023A"/>
    <w:rsid w:val="00F26087"/>
    <w:rsid w:val="00F36AF2"/>
    <w:rsid w:val="00F44A4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94C82"/>
  <w15:docId w15:val="{207DFEE0-BCF7-450F-830E-FA370840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2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2C"/>
    <w:pPr>
      <w:spacing w:line="240" w:lineRule="auto"/>
      <w:ind w:left="720"/>
      <w:contextualSpacing/>
    </w:pPr>
    <w:rPr>
      <w:rFonts w:ascii="Arial" w:hAnsi="Arial"/>
    </w:rPr>
  </w:style>
  <w:style w:type="table" w:styleId="TableGrid">
    <w:name w:val="Table Grid"/>
    <w:basedOn w:val="TableNormal"/>
    <w:uiPriority w:val="59"/>
    <w:rsid w:val="00CE252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52C"/>
    <w:rPr>
      <w:color w:val="0563C1" w:themeColor="hyperlink"/>
      <w:u w:val="single"/>
    </w:rPr>
  </w:style>
  <w:style w:type="paragraph" w:styleId="Header">
    <w:name w:val="header"/>
    <w:basedOn w:val="Normal"/>
    <w:link w:val="HeaderChar"/>
    <w:uiPriority w:val="99"/>
    <w:unhideWhenUsed/>
    <w:rsid w:val="00CE2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52C"/>
    <w:rPr>
      <w:lang w:val="en-GB"/>
    </w:rPr>
  </w:style>
  <w:style w:type="paragraph" w:styleId="Footer">
    <w:name w:val="footer"/>
    <w:basedOn w:val="Normal"/>
    <w:link w:val="FooterChar"/>
    <w:uiPriority w:val="99"/>
    <w:unhideWhenUsed/>
    <w:rsid w:val="00CE2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52C"/>
    <w:rPr>
      <w:lang w:val="en-GB"/>
    </w:rPr>
  </w:style>
  <w:style w:type="character" w:styleId="CommentReference">
    <w:name w:val="annotation reference"/>
    <w:basedOn w:val="DefaultParagraphFont"/>
    <w:uiPriority w:val="99"/>
    <w:semiHidden/>
    <w:unhideWhenUsed/>
    <w:rsid w:val="006958F3"/>
    <w:rPr>
      <w:sz w:val="16"/>
      <w:szCs w:val="16"/>
    </w:rPr>
  </w:style>
  <w:style w:type="paragraph" w:styleId="CommentText">
    <w:name w:val="annotation text"/>
    <w:basedOn w:val="Normal"/>
    <w:link w:val="CommentTextChar"/>
    <w:uiPriority w:val="99"/>
    <w:semiHidden/>
    <w:unhideWhenUsed/>
    <w:rsid w:val="006958F3"/>
    <w:pPr>
      <w:spacing w:line="240" w:lineRule="auto"/>
    </w:pPr>
    <w:rPr>
      <w:sz w:val="20"/>
      <w:szCs w:val="20"/>
    </w:rPr>
  </w:style>
  <w:style w:type="character" w:customStyle="1" w:styleId="CommentTextChar">
    <w:name w:val="Comment Text Char"/>
    <w:basedOn w:val="DefaultParagraphFont"/>
    <w:link w:val="CommentText"/>
    <w:uiPriority w:val="99"/>
    <w:semiHidden/>
    <w:rsid w:val="006958F3"/>
    <w:rPr>
      <w:sz w:val="20"/>
      <w:szCs w:val="20"/>
      <w:lang w:val="en-GB"/>
    </w:rPr>
  </w:style>
  <w:style w:type="paragraph" w:styleId="CommentSubject">
    <w:name w:val="annotation subject"/>
    <w:basedOn w:val="CommentText"/>
    <w:next w:val="CommentText"/>
    <w:link w:val="CommentSubjectChar"/>
    <w:uiPriority w:val="99"/>
    <w:semiHidden/>
    <w:unhideWhenUsed/>
    <w:rsid w:val="006958F3"/>
    <w:rPr>
      <w:b/>
      <w:bCs/>
    </w:rPr>
  </w:style>
  <w:style w:type="character" w:customStyle="1" w:styleId="CommentSubjectChar">
    <w:name w:val="Comment Subject Char"/>
    <w:basedOn w:val="CommentTextChar"/>
    <w:link w:val="CommentSubject"/>
    <w:uiPriority w:val="99"/>
    <w:semiHidden/>
    <w:rsid w:val="006958F3"/>
    <w:rPr>
      <w:b/>
      <w:bCs/>
      <w:sz w:val="20"/>
      <w:szCs w:val="20"/>
      <w:lang w:val="en-GB"/>
    </w:rPr>
  </w:style>
  <w:style w:type="paragraph" w:styleId="BalloonText">
    <w:name w:val="Balloon Text"/>
    <w:basedOn w:val="Normal"/>
    <w:link w:val="BalloonTextChar"/>
    <w:uiPriority w:val="99"/>
    <w:semiHidden/>
    <w:unhideWhenUsed/>
    <w:rsid w:val="0069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F3"/>
    <w:rPr>
      <w:rFonts w:ascii="Tahoma" w:hAnsi="Tahoma" w:cs="Tahoma"/>
      <w:sz w:val="16"/>
      <w:szCs w:val="16"/>
      <w:lang w:val="en-GB"/>
    </w:rPr>
  </w:style>
  <w:style w:type="paragraph" w:styleId="NormalWeb">
    <w:name w:val="Normal (Web)"/>
    <w:basedOn w:val="Normal"/>
    <w:uiPriority w:val="99"/>
    <w:unhideWhenUsed/>
    <w:rsid w:val="004C2F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8216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ADCE3FCAB646BFB1021BE339C7FA" ma:contentTypeVersion="0" ma:contentTypeDescription="Create a new document." ma:contentTypeScope="" ma:versionID="ace867795b2a523e272dfcc9e12134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E1C8-9CD4-403A-B7CF-894D011B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300DEA-7F37-4BBA-8AB0-C2AF2CFF1480}">
  <ds:schemaRefs>
    <ds:schemaRef ds:uri="http://schemas.microsoft.com/sharepoint/v3/contenttype/forms"/>
  </ds:schemaRefs>
</ds:datastoreItem>
</file>

<file path=customXml/itemProps3.xml><?xml version="1.0" encoding="utf-8"?>
<ds:datastoreItem xmlns:ds="http://schemas.openxmlformats.org/officeDocument/2006/customXml" ds:itemID="{4BAB9C35-3B80-4026-9521-C55B21217A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4D7053-C664-465B-BFAA-8C80AD4D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11458</Characters>
  <Application>Microsoft Office Word</Application>
  <DocSecurity>0</DocSecurity>
  <Lines>327</Lines>
  <Paragraphs>207</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Gosden, Christy (STFC,SO,PROG)</dc:creator>
  <cp:lastModifiedBy>Angela Gurung - UKRI</cp:lastModifiedBy>
  <cp:revision>2</cp:revision>
  <dcterms:created xsi:type="dcterms:W3CDTF">2022-04-08T14:12:00Z</dcterms:created>
  <dcterms:modified xsi:type="dcterms:W3CDTF">2022-04-08T14:12:00Z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0x0101002813ADCE3FCAB646BFB1021BE339C7FA</vt:lpwstr>
  </property>
</Properties>
</file>