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23406" w14:textId="77777777" w:rsidR="00921442" w:rsidRDefault="00BF0314">
      <w:pPr>
        <w:spacing w:line="240" w:lineRule="auto"/>
        <w:jc w:val="center"/>
        <w:rPr>
          <w:sz w:val="28"/>
          <w:szCs w:val="28"/>
        </w:rPr>
      </w:pPr>
      <w:r>
        <w:rPr>
          <w:b/>
          <w:bCs/>
          <w:sz w:val="28"/>
          <w:szCs w:val="28"/>
        </w:rPr>
        <w:t>Equality Impact Assessment (EIA)</w:t>
      </w:r>
    </w:p>
    <w:p w14:paraId="58323407" w14:textId="77777777" w:rsidR="00921442" w:rsidRDefault="00921442">
      <w:pPr>
        <w:spacing w:line="240" w:lineRule="auto"/>
        <w:rPr>
          <w:b/>
          <w:bCs/>
          <w:sz w:val="24"/>
          <w:szCs w:val="24"/>
        </w:rP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05"/>
        <w:gridCol w:w="6611"/>
      </w:tblGrid>
      <w:tr w:rsidR="00921442" w14:paraId="5832340A" w14:textId="77777777">
        <w:tc>
          <w:tcPr>
            <w:tcW w:w="2405"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08" w14:textId="77777777" w:rsidR="00921442" w:rsidRDefault="00BF0314">
            <w:pPr>
              <w:spacing w:line="240" w:lineRule="auto"/>
              <w:ind w:left="360"/>
              <w:rPr>
                <w:color w:val="000000"/>
              </w:rPr>
            </w:pPr>
            <w:r>
              <w:rPr>
                <w:b/>
                <w:bCs/>
                <w:color w:val="000000"/>
              </w:rPr>
              <w:t>Question</w:t>
            </w:r>
          </w:p>
        </w:tc>
        <w:tc>
          <w:tcPr>
            <w:tcW w:w="6611"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09" w14:textId="77777777" w:rsidR="00921442" w:rsidRDefault="00BF0314">
            <w:pPr>
              <w:spacing w:line="240" w:lineRule="auto"/>
              <w:rPr>
                <w:color w:val="000000"/>
              </w:rPr>
            </w:pPr>
            <w:r>
              <w:rPr>
                <w:b/>
                <w:bCs/>
                <w:color w:val="000000"/>
              </w:rPr>
              <w:t>Response</w:t>
            </w:r>
          </w:p>
        </w:tc>
      </w:tr>
      <w:tr w:rsidR="00921442" w14:paraId="5832340E" w14:textId="77777777">
        <w:trPr>
          <w:trHeight w:val="768"/>
        </w:trPr>
        <w:tc>
          <w:tcPr>
            <w:tcW w:w="2405"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0B" w14:textId="77777777" w:rsidR="00921442" w:rsidRDefault="00BF0314">
            <w:pPr>
              <w:numPr>
                <w:ilvl w:val="0"/>
                <w:numId w:val="1"/>
              </w:numPr>
              <w:pBdr>
                <w:left w:val="none" w:sz="0" w:space="4" w:color="auto"/>
              </w:pBdr>
              <w:spacing w:line="240" w:lineRule="auto"/>
              <w:ind w:left="360"/>
              <w:rPr>
                <w:b/>
                <w:bCs/>
                <w:color w:val="000000"/>
              </w:rPr>
            </w:pPr>
            <w:r>
              <w:rPr>
                <w:b/>
                <w:bCs/>
                <w:color w:val="000000"/>
              </w:rPr>
              <w:t>Name of policy/funding activity/event being assessed</w:t>
            </w:r>
          </w:p>
          <w:p w14:paraId="5832340C" w14:textId="77777777" w:rsidR="00921442" w:rsidRDefault="00921442">
            <w:pPr>
              <w:spacing w:line="240" w:lineRule="auto"/>
              <w:rPr>
                <w:b/>
                <w:bCs/>
                <w:color w:val="000000"/>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0D" w14:textId="37744101" w:rsidR="00921442" w:rsidRDefault="00BF0314">
            <w:pPr>
              <w:spacing w:line="240" w:lineRule="auto"/>
              <w:rPr>
                <w:color w:val="000000"/>
                <w:sz w:val="28"/>
                <w:szCs w:val="28"/>
              </w:rPr>
            </w:pPr>
            <w:r>
              <w:rPr>
                <w:color w:val="000000"/>
                <w:sz w:val="28"/>
                <w:szCs w:val="28"/>
              </w:rPr>
              <w:t xml:space="preserve">AHRC ECR Fellowships in Cultural and Heritage </w:t>
            </w:r>
            <w:r w:rsidRPr="00BE70D9">
              <w:rPr>
                <w:sz w:val="28"/>
                <w:szCs w:val="28"/>
              </w:rPr>
              <w:t xml:space="preserve">Institutions </w:t>
            </w:r>
            <w:r>
              <w:rPr>
                <w:color w:val="000000"/>
                <w:sz w:val="28"/>
                <w:szCs w:val="28"/>
              </w:rPr>
              <w:t>Phase 1: Advertising of Fellowship Opportunity, Expression of Interest and Fellowship Selection.</w:t>
            </w:r>
          </w:p>
        </w:tc>
      </w:tr>
      <w:tr w:rsidR="00921442" w14:paraId="58323417" w14:textId="77777777">
        <w:tc>
          <w:tcPr>
            <w:tcW w:w="2405"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0F" w14:textId="77777777" w:rsidR="00921442" w:rsidRDefault="00BF0314">
            <w:pPr>
              <w:numPr>
                <w:ilvl w:val="0"/>
                <w:numId w:val="2"/>
              </w:numPr>
              <w:pBdr>
                <w:left w:val="none" w:sz="0" w:space="4" w:color="auto"/>
              </w:pBdr>
              <w:spacing w:line="240" w:lineRule="auto"/>
              <w:ind w:left="360"/>
              <w:rPr>
                <w:b/>
                <w:bCs/>
                <w:color w:val="000000"/>
              </w:rPr>
            </w:pPr>
            <w:r>
              <w:rPr>
                <w:b/>
                <w:bCs/>
                <w:color w:val="000000"/>
              </w:rPr>
              <w:t>Summary of aims and objectives of the policy/funding activity/event</w:t>
            </w:r>
          </w:p>
          <w:p w14:paraId="58323410" w14:textId="77777777" w:rsidR="00921442" w:rsidRDefault="00921442">
            <w:pPr>
              <w:spacing w:line="240" w:lineRule="auto"/>
              <w:ind w:left="360"/>
              <w:rPr>
                <w:b/>
                <w:bCs/>
                <w:color w:val="000000"/>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11" w14:textId="23836B7E" w:rsidR="00921442" w:rsidRDefault="00BF0314">
            <w:pPr>
              <w:spacing w:line="240" w:lineRule="auto"/>
              <w:rPr>
                <w:color w:val="000000"/>
              </w:rPr>
            </w:pPr>
            <w:r>
              <w:rPr>
                <w:b/>
                <w:bCs/>
                <w:color w:val="000000"/>
              </w:rPr>
              <w:t>Overall purpose:</w:t>
            </w:r>
            <w:r>
              <w:rPr>
                <w:color w:val="000000"/>
              </w:rPr>
              <w:t xml:space="preserve"> To support skills development and knowledge exchange between academia, cultural and heritage </w:t>
            </w:r>
            <w:r w:rsidR="00BE70D9" w:rsidRPr="00BE70D9">
              <w:t>Independent</w:t>
            </w:r>
            <w:r w:rsidRPr="00BE70D9">
              <w:t xml:space="preserve"> Research Organi</w:t>
            </w:r>
            <w:r w:rsidR="00BE70D9" w:rsidRPr="00BE70D9">
              <w:t>s</w:t>
            </w:r>
            <w:r w:rsidRPr="00BE70D9">
              <w:t>ations (IROs)</w:t>
            </w:r>
            <w:r>
              <w:rPr>
                <w:color w:val="B5082E"/>
              </w:rPr>
              <w:t xml:space="preserve"> </w:t>
            </w:r>
            <w:r>
              <w:rPr>
                <w:color w:val="000000"/>
              </w:rPr>
              <w:t xml:space="preserve">and the wider </w:t>
            </w:r>
            <w:r w:rsidRPr="00BE70D9">
              <w:t xml:space="preserve">galleries, libraries, archives and museums (GLAM) </w:t>
            </w:r>
            <w:r>
              <w:rPr>
                <w:color w:val="000000"/>
              </w:rPr>
              <w:t>sector through funding individual Fellowships focused on collaborative research and innovation, with a complementary programme of leadership and skills development events and mentoring for the fellowship cohort.</w:t>
            </w:r>
          </w:p>
          <w:p w14:paraId="58323412" w14:textId="77777777" w:rsidR="00921442" w:rsidRDefault="00BF0314">
            <w:pPr>
              <w:spacing w:line="240" w:lineRule="auto"/>
              <w:rPr>
                <w:color w:val="000000"/>
              </w:rPr>
            </w:pPr>
            <w:r>
              <w:rPr>
                <w:b/>
                <w:bCs/>
                <w:color w:val="000000"/>
              </w:rPr>
              <w:t>Objectives of Phase 1:</w:t>
            </w:r>
          </w:p>
          <w:p w14:paraId="58323413" w14:textId="77777777" w:rsidR="00921442" w:rsidRDefault="00BF0314">
            <w:pPr>
              <w:spacing w:line="240" w:lineRule="auto"/>
              <w:rPr>
                <w:color w:val="000000"/>
              </w:rPr>
            </w:pPr>
            <w:r>
              <w:rPr>
                <w:color w:val="000000"/>
              </w:rPr>
              <w:t>1. Advertise ECR Fellowship opportunity to as wide a range of potential applicants as possible.</w:t>
            </w:r>
          </w:p>
          <w:p w14:paraId="58323414" w14:textId="77777777" w:rsidR="00921442" w:rsidRDefault="00BF0314">
            <w:pPr>
              <w:spacing w:line="240" w:lineRule="auto"/>
              <w:rPr>
                <w:color w:val="000000"/>
              </w:rPr>
            </w:pPr>
            <w:r>
              <w:rPr>
                <w:color w:val="000000"/>
              </w:rPr>
              <w:t xml:space="preserve">2. Ensure prospective applicants can meet with representatives from Scheme Coordinator/AHRC/IROs either in person, or online, to discuss their fellowship proposals. </w:t>
            </w:r>
          </w:p>
          <w:p w14:paraId="58323415" w14:textId="087F1906" w:rsidR="00921442" w:rsidRDefault="00BF0314">
            <w:pPr>
              <w:spacing w:line="240" w:lineRule="auto"/>
              <w:rPr>
                <w:color w:val="000000"/>
              </w:rPr>
            </w:pPr>
            <w:r>
              <w:rPr>
                <w:color w:val="000000"/>
              </w:rPr>
              <w:t xml:space="preserve">3. Conduct a robust expression of interest </w:t>
            </w:r>
            <w:r w:rsidR="00ED1875">
              <w:rPr>
                <w:color w:val="000000"/>
              </w:rPr>
              <w:t xml:space="preserve">(EoI) </w:t>
            </w:r>
            <w:r>
              <w:rPr>
                <w:color w:val="000000"/>
              </w:rPr>
              <w:t>phase, enabling selected fellows to co-develop full fellowship proposals with host IROs.</w:t>
            </w:r>
          </w:p>
          <w:p w14:paraId="58323416" w14:textId="77777777" w:rsidR="00921442" w:rsidRDefault="00BF0314">
            <w:pPr>
              <w:spacing w:line="240" w:lineRule="auto"/>
              <w:rPr>
                <w:color w:val="000000"/>
              </w:rPr>
            </w:pPr>
            <w:r>
              <w:rPr>
                <w:color w:val="000000"/>
              </w:rPr>
              <w:t xml:space="preserve">4. Submission of full fellowship proposals via Je-S for review by AHRC selection panel. </w:t>
            </w:r>
          </w:p>
        </w:tc>
      </w:tr>
      <w:tr w:rsidR="00921442" w14:paraId="5832341F" w14:textId="77777777">
        <w:tc>
          <w:tcPr>
            <w:tcW w:w="2405"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18" w14:textId="5B55337B" w:rsidR="00921442" w:rsidRDefault="00BF0314">
            <w:pPr>
              <w:numPr>
                <w:ilvl w:val="0"/>
                <w:numId w:val="3"/>
              </w:numPr>
              <w:pBdr>
                <w:left w:val="none" w:sz="0" w:space="4" w:color="auto"/>
              </w:pBdr>
              <w:spacing w:line="240" w:lineRule="auto"/>
              <w:ind w:left="360"/>
              <w:rPr>
                <w:b/>
                <w:bCs/>
                <w:color w:val="000000"/>
              </w:rPr>
            </w:pPr>
            <w:r>
              <w:rPr>
                <w:b/>
                <w:bCs/>
                <w:color w:val="000000"/>
              </w:rPr>
              <w:t xml:space="preserve">What involvement and consultation has been done in relation to this event/study? </w:t>
            </w:r>
            <w:r>
              <w:rPr>
                <w:i/>
                <w:iCs/>
                <w:color w:val="000000"/>
              </w:rPr>
              <w:t>(e.g. with relevant groups and stakeholders)</w:t>
            </w:r>
          </w:p>
          <w:p w14:paraId="58323419" w14:textId="77777777" w:rsidR="00921442" w:rsidRDefault="00921442">
            <w:pPr>
              <w:spacing w:line="240" w:lineRule="auto"/>
              <w:rPr>
                <w:b/>
                <w:bCs/>
                <w:color w:val="000000"/>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1A" w14:textId="77777777" w:rsidR="00921442" w:rsidRDefault="00BF0314">
            <w:pPr>
              <w:spacing w:line="240" w:lineRule="auto"/>
              <w:rPr>
                <w:color w:val="000000"/>
              </w:rPr>
            </w:pPr>
            <w:r>
              <w:rPr>
                <w:color w:val="000000"/>
              </w:rPr>
              <w:t xml:space="preserve">The following consultations have taken place in relation to designing this funding opportunity:  </w:t>
            </w:r>
          </w:p>
          <w:p w14:paraId="5832341B" w14:textId="77777777" w:rsidR="00921442" w:rsidRDefault="00BF0314">
            <w:pPr>
              <w:numPr>
                <w:ilvl w:val="0"/>
                <w:numId w:val="4"/>
              </w:numPr>
              <w:pBdr>
                <w:left w:val="none" w:sz="0" w:space="11" w:color="auto"/>
              </w:pBdr>
              <w:spacing w:line="240" w:lineRule="auto"/>
              <w:ind w:hanging="500"/>
              <w:rPr>
                <w:rFonts w:ascii="Times New Roman" w:eastAsia="Times New Roman" w:hAnsi="Times New Roman" w:cs="Times New Roman"/>
                <w:color w:val="000000"/>
              </w:rPr>
            </w:pPr>
            <w:r>
              <w:rPr>
                <w:color w:val="000000"/>
              </w:rPr>
              <w:t>Consultation with AHRC/UKRI.</w:t>
            </w:r>
          </w:p>
          <w:p w14:paraId="5832341C" w14:textId="77777777" w:rsidR="00921442" w:rsidRDefault="00BF0314">
            <w:pPr>
              <w:numPr>
                <w:ilvl w:val="0"/>
                <w:numId w:val="4"/>
              </w:numPr>
              <w:pBdr>
                <w:left w:val="none" w:sz="0" w:space="11" w:color="auto"/>
              </w:pBdr>
              <w:spacing w:line="240" w:lineRule="auto"/>
              <w:ind w:hanging="500"/>
              <w:rPr>
                <w:rFonts w:ascii="Times New Roman" w:eastAsia="Times New Roman" w:hAnsi="Times New Roman" w:cs="Times New Roman"/>
                <w:color w:val="000000"/>
              </w:rPr>
            </w:pPr>
            <w:r>
              <w:rPr>
                <w:color w:val="000000"/>
              </w:rPr>
              <w:t xml:space="preserve">Consultation with V&amp;A Equality, Diversity and Inclusion Lead and Data Protection and Governance Lead. </w:t>
            </w:r>
          </w:p>
          <w:p w14:paraId="5832341D" w14:textId="77777777" w:rsidR="00921442" w:rsidRDefault="00BF0314">
            <w:pPr>
              <w:numPr>
                <w:ilvl w:val="0"/>
                <w:numId w:val="4"/>
              </w:numPr>
              <w:pBdr>
                <w:left w:val="none" w:sz="0" w:space="11" w:color="auto"/>
              </w:pBdr>
              <w:spacing w:line="240" w:lineRule="auto"/>
              <w:ind w:hanging="500"/>
              <w:rPr>
                <w:rFonts w:ascii="Times New Roman" w:eastAsia="Times New Roman" w:hAnsi="Times New Roman" w:cs="Times New Roman"/>
                <w:color w:val="000000"/>
              </w:rPr>
            </w:pPr>
            <w:r>
              <w:rPr>
                <w:color w:val="000000"/>
              </w:rPr>
              <w:t>Consultation with IROC</w:t>
            </w:r>
            <w:r>
              <w:rPr>
                <w:color w:val="2E97D3"/>
              </w:rPr>
              <w:t>.</w:t>
            </w:r>
          </w:p>
          <w:p w14:paraId="5832341E" w14:textId="77777777" w:rsidR="00921442" w:rsidRDefault="00921442">
            <w:pPr>
              <w:spacing w:line="240" w:lineRule="auto"/>
              <w:rPr>
                <w:color w:val="7F7F7F"/>
              </w:rPr>
            </w:pPr>
          </w:p>
        </w:tc>
      </w:tr>
      <w:tr w:rsidR="00921442" w14:paraId="58323450" w14:textId="77777777">
        <w:tc>
          <w:tcPr>
            <w:tcW w:w="2405"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20" w14:textId="77777777" w:rsidR="00921442" w:rsidRDefault="00BF0314">
            <w:pPr>
              <w:numPr>
                <w:ilvl w:val="0"/>
                <w:numId w:val="5"/>
              </w:numPr>
              <w:pBdr>
                <w:left w:val="none" w:sz="0" w:space="4" w:color="auto"/>
              </w:pBdr>
              <w:spacing w:line="240" w:lineRule="auto"/>
              <w:ind w:left="360"/>
              <w:rPr>
                <w:b/>
                <w:bCs/>
                <w:color w:val="000000"/>
              </w:rPr>
            </w:pPr>
            <w:r>
              <w:rPr>
                <w:b/>
                <w:bCs/>
                <w:color w:val="000000"/>
              </w:rPr>
              <w:t>Who is affected by the policy/funding activity/event?</w:t>
            </w:r>
          </w:p>
          <w:p w14:paraId="58323421" w14:textId="77777777" w:rsidR="00921442" w:rsidRDefault="00921442">
            <w:pPr>
              <w:spacing w:line="240" w:lineRule="auto"/>
              <w:ind w:left="360"/>
              <w:rPr>
                <w:b/>
                <w:bCs/>
                <w:color w:val="000000"/>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22" w14:textId="77777777" w:rsidR="00921442" w:rsidRDefault="00BF0314">
            <w:pPr>
              <w:spacing w:line="240" w:lineRule="auto"/>
              <w:rPr>
                <w:color w:val="000000"/>
              </w:rPr>
            </w:pPr>
            <w:r>
              <w:rPr>
                <w:b/>
                <w:bCs/>
                <w:color w:val="000000"/>
              </w:rPr>
              <w:t>Within the Scheme Coordination and Development Team:</w:t>
            </w:r>
            <w:r>
              <w:rPr>
                <w:color w:val="000000"/>
              </w:rPr>
              <w:t xml:space="preserve"> PI (Joanna Norman), Co-I (Dr Oliver Cox), Project Coordinator (to be appointed) and wider </w:t>
            </w:r>
            <w:r w:rsidRPr="0086788A">
              <w:t xml:space="preserve">Victoria &amp; Albert Museum Research Institute (VARI) </w:t>
            </w:r>
            <w:r>
              <w:rPr>
                <w:color w:val="000000"/>
              </w:rPr>
              <w:t>ecosystem.</w:t>
            </w:r>
          </w:p>
          <w:p w14:paraId="58323423" w14:textId="77777777" w:rsidR="00921442" w:rsidRDefault="00921442">
            <w:pPr>
              <w:spacing w:line="240" w:lineRule="auto"/>
              <w:rPr>
                <w:color w:val="000000"/>
              </w:rPr>
            </w:pPr>
          </w:p>
          <w:p w14:paraId="58323424" w14:textId="77777777" w:rsidR="00921442" w:rsidRDefault="00BF0314">
            <w:pPr>
              <w:spacing w:line="240" w:lineRule="auto"/>
              <w:rPr>
                <w:color w:val="000000"/>
              </w:rPr>
            </w:pPr>
            <w:r>
              <w:rPr>
                <w:b/>
                <w:bCs/>
                <w:color w:val="000000"/>
              </w:rPr>
              <w:t>Within the AHRC:</w:t>
            </w:r>
            <w:r>
              <w:rPr>
                <w:color w:val="000000"/>
              </w:rPr>
              <w:t xml:space="preserve"> The Skills and Operations Teams </w:t>
            </w:r>
          </w:p>
          <w:p w14:paraId="58323425" w14:textId="77777777" w:rsidR="00921442" w:rsidRDefault="00921442">
            <w:pPr>
              <w:spacing w:line="240" w:lineRule="auto"/>
              <w:rPr>
                <w:color w:val="000000"/>
              </w:rPr>
            </w:pPr>
          </w:p>
          <w:p w14:paraId="58323426" w14:textId="77777777" w:rsidR="00921442" w:rsidRDefault="00BF0314">
            <w:pPr>
              <w:spacing w:line="240" w:lineRule="auto"/>
              <w:rPr>
                <w:color w:val="000000"/>
              </w:rPr>
            </w:pPr>
            <w:r>
              <w:rPr>
                <w:b/>
                <w:bCs/>
                <w:color w:val="000000"/>
              </w:rPr>
              <w:t xml:space="preserve">Within UKRI: </w:t>
            </w:r>
            <w:r>
              <w:rPr>
                <w:color w:val="000000"/>
              </w:rPr>
              <w:t>Central Grants &amp; Schemes team and Je</w:t>
            </w:r>
            <w:r>
              <w:rPr>
                <w:color w:val="2E97D3"/>
              </w:rPr>
              <w:t>-</w:t>
            </w:r>
            <w:r>
              <w:rPr>
                <w:color w:val="000000"/>
              </w:rPr>
              <w:t>S helpdesk.</w:t>
            </w:r>
            <w:r>
              <w:rPr>
                <w:b/>
                <w:bCs/>
                <w:color w:val="000000"/>
              </w:rPr>
              <w:t xml:space="preserve"> </w:t>
            </w:r>
            <w:r>
              <w:rPr>
                <w:color w:val="000000"/>
              </w:rPr>
              <w:t>Also, UKRI Events who will assist with setting up and delivering our information webinars.</w:t>
            </w:r>
          </w:p>
          <w:p w14:paraId="58323427" w14:textId="77777777" w:rsidR="00921442" w:rsidRDefault="00921442">
            <w:pPr>
              <w:spacing w:line="240" w:lineRule="auto"/>
              <w:ind w:left="720"/>
              <w:rPr>
                <w:color w:val="000000"/>
              </w:rPr>
            </w:pPr>
          </w:p>
          <w:p w14:paraId="58323428" w14:textId="77777777" w:rsidR="00921442" w:rsidRDefault="00BF0314">
            <w:pPr>
              <w:spacing w:line="240" w:lineRule="auto"/>
              <w:rPr>
                <w:color w:val="000000"/>
              </w:rPr>
            </w:pPr>
            <w:r>
              <w:rPr>
                <w:b/>
                <w:bCs/>
                <w:color w:val="000000"/>
              </w:rPr>
              <w:t>Academic and non-academic community:</w:t>
            </w:r>
            <w:r>
              <w:rPr>
                <w:color w:val="000000"/>
              </w:rPr>
              <w:t xml:space="preserve"> </w:t>
            </w:r>
          </w:p>
          <w:p w14:paraId="58323429" w14:textId="77777777" w:rsidR="00921442" w:rsidRDefault="00BF0314">
            <w:pPr>
              <w:numPr>
                <w:ilvl w:val="0"/>
                <w:numId w:val="6"/>
              </w:numPr>
              <w:pBdr>
                <w:left w:val="none" w:sz="0" w:space="7" w:color="auto"/>
              </w:pBdr>
              <w:spacing w:line="240" w:lineRule="auto"/>
              <w:ind w:hanging="430"/>
              <w:rPr>
                <w:rFonts w:ascii="Times New Roman" w:eastAsia="Times New Roman" w:hAnsi="Times New Roman" w:cs="Times New Roman"/>
                <w:color w:val="000000"/>
              </w:rPr>
            </w:pPr>
            <w:r>
              <w:rPr>
                <w:color w:val="000000"/>
              </w:rPr>
              <w:t xml:space="preserve">Selected early career researchers within and beyond academia in disciplines related to the strategic priorities of IROs. </w:t>
            </w:r>
          </w:p>
          <w:p w14:paraId="5832342A" w14:textId="77777777" w:rsidR="00921442" w:rsidRDefault="00BF0314">
            <w:pPr>
              <w:numPr>
                <w:ilvl w:val="0"/>
                <w:numId w:val="6"/>
              </w:numPr>
              <w:pBdr>
                <w:left w:val="none" w:sz="0" w:space="7" w:color="auto"/>
              </w:pBdr>
              <w:spacing w:line="240" w:lineRule="auto"/>
              <w:ind w:hanging="430"/>
              <w:rPr>
                <w:rFonts w:ascii="Times New Roman" w:eastAsia="Times New Roman" w:hAnsi="Times New Roman" w:cs="Times New Roman"/>
                <w:color w:val="000000"/>
              </w:rPr>
            </w:pPr>
            <w:r>
              <w:rPr>
                <w:color w:val="000000"/>
              </w:rPr>
              <w:t>The employers of these researchers.</w:t>
            </w:r>
          </w:p>
          <w:p w14:paraId="5832342B" w14:textId="77777777" w:rsidR="00921442" w:rsidRDefault="00BF0314">
            <w:pPr>
              <w:numPr>
                <w:ilvl w:val="0"/>
                <w:numId w:val="6"/>
              </w:numPr>
              <w:pBdr>
                <w:left w:val="none" w:sz="0" w:space="7" w:color="auto"/>
              </w:pBdr>
              <w:spacing w:line="240" w:lineRule="auto"/>
              <w:ind w:hanging="430"/>
              <w:rPr>
                <w:rFonts w:ascii="Times New Roman" w:eastAsia="Times New Roman" w:hAnsi="Times New Roman" w:cs="Times New Roman"/>
                <w:color w:val="000000"/>
              </w:rPr>
            </w:pPr>
            <w:r>
              <w:rPr>
                <w:color w:val="000000"/>
              </w:rPr>
              <w:t>Academic supervisors of researchers (e.g. those supporting completing PhD students).</w:t>
            </w:r>
          </w:p>
          <w:p w14:paraId="5832342C" w14:textId="77777777" w:rsidR="00921442" w:rsidRDefault="00BF0314">
            <w:pPr>
              <w:numPr>
                <w:ilvl w:val="0"/>
                <w:numId w:val="6"/>
              </w:numPr>
              <w:pBdr>
                <w:left w:val="none" w:sz="0" w:space="7" w:color="auto"/>
              </w:pBdr>
              <w:spacing w:line="240" w:lineRule="auto"/>
              <w:ind w:hanging="430"/>
              <w:rPr>
                <w:rFonts w:ascii="Times New Roman" w:eastAsia="Times New Roman" w:hAnsi="Times New Roman" w:cs="Times New Roman"/>
                <w:color w:val="000000"/>
              </w:rPr>
            </w:pPr>
            <w:r>
              <w:rPr>
                <w:color w:val="000000"/>
              </w:rPr>
              <w:lastRenderedPageBreak/>
              <w:t>IROC and the wider Galleries, Libraries, Archives and Museum (GLAM) sector.</w:t>
            </w:r>
          </w:p>
          <w:p w14:paraId="5832342D" w14:textId="77777777" w:rsidR="00921442" w:rsidRDefault="00921442">
            <w:pPr>
              <w:pBdr>
                <w:left w:val="none" w:sz="0" w:space="7" w:color="auto"/>
              </w:pBdr>
              <w:spacing w:line="240" w:lineRule="auto"/>
              <w:ind w:left="140"/>
              <w:rPr>
                <w:color w:val="000000"/>
              </w:rPr>
            </w:pPr>
          </w:p>
          <w:p w14:paraId="5832342E" w14:textId="77777777" w:rsidR="00921442" w:rsidRDefault="00BF0314">
            <w:pPr>
              <w:rPr>
                <w:color w:val="000000"/>
              </w:rPr>
            </w:pPr>
            <w:r>
              <w:rPr>
                <w:color w:val="000000"/>
              </w:rPr>
              <w:t>There are two aspects to this equality impact assessment:</w:t>
            </w:r>
          </w:p>
          <w:p w14:paraId="5832342F" w14:textId="77777777" w:rsidR="00921442" w:rsidRDefault="00921442">
            <w:pPr>
              <w:rPr>
                <w:color w:val="000000"/>
              </w:rPr>
            </w:pPr>
          </w:p>
          <w:p w14:paraId="58323430" w14:textId="77777777" w:rsidR="00921442" w:rsidRDefault="00BF0314">
            <w:pPr>
              <w:numPr>
                <w:ilvl w:val="0"/>
                <w:numId w:val="7"/>
              </w:numPr>
              <w:pBdr>
                <w:left w:val="none" w:sz="0" w:space="7" w:color="auto"/>
              </w:pBdr>
              <w:ind w:hanging="430"/>
              <w:rPr>
                <w:rFonts w:ascii="Times New Roman" w:eastAsia="Times New Roman" w:hAnsi="Times New Roman" w:cs="Times New Roman"/>
                <w:color w:val="000000"/>
              </w:rPr>
            </w:pPr>
            <w:r>
              <w:rPr>
                <w:color w:val="000000"/>
              </w:rPr>
              <w:t>Ensuring that the publicity and awareness raising, submission of EoI forms, and awarding processes are free from unintentional bias.</w:t>
            </w:r>
          </w:p>
          <w:p w14:paraId="58323431" w14:textId="77777777" w:rsidR="00921442" w:rsidRDefault="00BF0314">
            <w:pPr>
              <w:numPr>
                <w:ilvl w:val="0"/>
                <w:numId w:val="7"/>
              </w:numPr>
              <w:pBdr>
                <w:left w:val="none" w:sz="0" w:space="7" w:color="auto"/>
              </w:pBdr>
              <w:ind w:hanging="430"/>
              <w:rPr>
                <w:rFonts w:ascii="Times New Roman" w:eastAsia="Times New Roman" w:hAnsi="Times New Roman" w:cs="Times New Roman"/>
                <w:color w:val="000000"/>
              </w:rPr>
            </w:pPr>
            <w:r>
              <w:rPr>
                <w:color w:val="000000"/>
              </w:rPr>
              <w:t>Identifying and mitigating against any potential barriers to attendance and participation in the funding opportunity and its associated activities.</w:t>
            </w:r>
          </w:p>
          <w:p w14:paraId="58323432" w14:textId="77777777" w:rsidR="00921442" w:rsidRDefault="00921442">
            <w:pPr>
              <w:ind w:left="720"/>
              <w:rPr>
                <w:color w:val="000000"/>
              </w:rPr>
            </w:pPr>
          </w:p>
          <w:p w14:paraId="58323433" w14:textId="77777777" w:rsidR="00921442" w:rsidRDefault="00BF0314">
            <w:pPr>
              <w:rPr>
                <w:color w:val="000000"/>
              </w:rPr>
            </w:pPr>
            <w:r>
              <w:rPr>
                <w:color w:val="000000"/>
              </w:rPr>
              <w:t>The scheme coordination and development team, working with AHRC and the IRO community, is committed to ensuring that the processes for the fellowship funding are open and inclusive. Those engaged in the process endeavour to conduct each stage in a fair manner and without prejudice or bias.</w:t>
            </w:r>
          </w:p>
          <w:p w14:paraId="58323434" w14:textId="77777777" w:rsidR="00921442" w:rsidRDefault="00921442">
            <w:pPr>
              <w:rPr>
                <w:color w:val="000000"/>
              </w:rPr>
            </w:pPr>
          </w:p>
          <w:p w14:paraId="58323435" w14:textId="77777777" w:rsidR="00921442" w:rsidRDefault="00BF0314">
            <w:pPr>
              <w:rPr>
                <w:color w:val="000000"/>
              </w:rPr>
            </w:pPr>
            <w:r>
              <w:rPr>
                <w:color w:val="000000"/>
              </w:rPr>
              <w:t>In line with this we adopt the following principles.</w:t>
            </w:r>
          </w:p>
          <w:p w14:paraId="58323436" w14:textId="77777777" w:rsidR="00921442" w:rsidRDefault="00921442">
            <w:pPr>
              <w:rPr>
                <w:color w:val="000000"/>
              </w:rPr>
            </w:pPr>
          </w:p>
          <w:p w14:paraId="58323437" w14:textId="77777777" w:rsidR="00921442" w:rsidRDefault="00BF0314">
            <w:pPr>
              <w:rPr>
                <w:color w:val="000000"/>
              </w:rPr>
            </w:pPr>
            <w:r>
              <w:rPr>
                <w:color w:val="000000"/>
              </w:rPr>
              <w:t>For applicants:</w:t>
            </w:r>
          </w:p>
          <w:p w14:paraId="58323438" w14:textId="77777777"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The funding opportunity and its associated network-building activities are advertised widely to reach the largest possible audience within the relevant communities.</w:t>
            </w:r>
          </w:p>
          <w:p w14:paraId="58323439" w14:textId="0588B49F"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Participation in the scheduled townhall events and online matchmaking activities will be strongly encouraged but not mandatory, to ensure participation in the funding opportunity is not limited by applicant availability on specific days.</w:t>
            </w:r>
            <w:r>
              <w:rPr>
                <w:color w:val="633277"/>
              </w:rPr>
              <w:t xml:space="preserve"> </w:t>
            </w:r>
            <w:r w:rsidRPr="0086788A">
              <w:t xml:space="preserve">A recording of at least one in person event will be made so that applicants who are unable to attend are not disadvantaged.  </w:t>
            </w:r>
          </w:p>
          <w:p w14:paraId="5832343A" w14:textId="44DA8581"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Named contacts for applicants at each participating IRO are identified, and their contact details made public, to ensure potential applicants receive a response to any questions or queries.</w:t>
            </w:r>
          </w:p>
          <w:p w14:paraId="5832343B" w14:textId="77777777"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 xml:space="preserve">The funding opportunity text and guidance clearly state the eligibility and assessment criteria and the dates for townhall meetings, online matchmaking, deadlines for submissions of EoIs, deadline for submission to AHRC via a completed Je-S form. </w:t>
            </w:r>
          </w:p>
          <w:p w14:paraId="5832343C" w14:textId="77777777"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All online materials conform to accessibility requirements for websites, including the ability to adjust the text size or use a text reader on the page.</w:t>
            </w:r>
          </w:p>
          <w:p w14:paraId="5832343D" w14:textId="46B143ED"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All in person events conform to accessibility requirements of the attendees</w:t>
            </w:r>
            <w:r w:rsidR="00BC7F4D">
              <w:rPr>
                <w:color w:val="000000"/>
              </w:rPr>
              <w:t xml:space="preserve"> with clear opportunities at registration for </w:t>
            </w:r>
            <w:r w:rsidR="00BC7F4D">
              <w:rPr>
                <w:color w:val="000000"/>
              </w:rPr>
              <w:lastRenderedPageBreak/>
              <w:t xml:space="preserve">attendees to make organisers aware of </w:t>
            </w:r>
            <w:r w:rsidR="001024D1">
              <w:rPr>
                <w:color w:val="000000"/>
              </w:rPr>
              <w:t>specific requirements.</w:t>
            </w:r>
            <w:r>
              <w:rPr>
                <w:color w:val="000000"/>
              </w:rPr>
              <w:t xml:space="preserve"> E.g. physical access; captioning/British Sign Language.</w:t>
            </w:r>
          </w:p>
          <w:p w14:paraId="5832343E" w14:textId="77777777"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Virtual meetings are arranged using an appropriate platform that can be accessed by all potential attendees at no cost to them.</w:t>
            </w:r>
          </w:p>
          <w:p w14:paraId="5832343F" w14:textId="77777777" w:rsidR="00921442" w:rsidRDefault="00BF0314">
            <w:pPr>
              <w:numPr>
                <w:ilvl w:val="0"/>
                <w:numId w:val="8"/>
              </w:numPr>
              <w:pBdr>
                <w:left w:val="none" w:sz="0" w:space="7" w:color="auto"/>
              </w:pBdr>
              <w:ind w:hanging="430"/>
              <w:rPr>
                <w:rFonts w:ascii="Times New Roman" w:eastAsia="Times New Roman" w:hAnsi="Times New Roman" w:cs="Times New Roman"/>
                <w:color w:val="000000"/>
              </w:rPr>
            </w:pPr>
            <w:r>
              <w:rPr>
                <w:color w:val="000000"/>
              </w:rPr>
              <w:t>The cohort coordination and development team, AHRC and participating IROs provide support and advice to applicants both before and after submission of EoIs and full applications. Key contact details and respective roles and responsibilities are clearly accessible to ensure any additional needs to enable attendance or participation are met.</w:t>
            </w:r>
          </w:p>
          <w:p w14:paraId="58323440" w14:textId="77777777" w:rsidR="00921442" w:rsidRDefault="00921442">
            <w:pPr>
              <w:rPr>
                <w:color w:val="000000"/>
              </w:rPr>
            </w:pPr>
          </w:p>
          <w:p w14:paraId="58323441" w14:textId="77777777" w:rsidR="00921442" w:rsidRDefault="00BF0314">
            <w:pPr>
              <w:rPr>
                <w:color w:val="000000"/>
              </w:rPr>
            </w:pPr>
            <w:r>
              <w:rPr>
                <w:color w:val="000000"/>
              </w:rPr>
              <w:t>For Expression of Interest assessors (panel members at IROs):</w:t>
            </w:r>
          </w:p>
          <w:p w14:paraId="58323442" w14:textId="77777777" w:rsidR="00921442" w:rsidRDefault="00921442">
            <w:pPr>
              <w:rPr>
                <w:color w:val="000000"/>
              </w:rPr>
            </w:pPr>
          </w:p>
          <w:p w14:paraId="58323443" w14:textId="77777777" w:rsidR="00921442" w:rsidRPr="001024D1" w:rsidRDefault="00BF0314">
            <w:pPr>
              <w:numPr>
                <w:ilvl w:val="0"/>
                <w:numId w:val="9"/>
              </w:numPr>
              <w:pBdr>
                <w:left w:val="none" w:sz="0" w:space="7" w:color="auto"/>
              </w:pBdr>
              <w:ind w:hanging="430"/>
              <w:rPr>
                <w:rFonts w:ascii="Times New Roman" w:eastAsia="Times New Roman" w:hAnsi="Times New Roman" w:cs="Times New Roman"/>
              </w:rPr>
            </w:pPr>
            <w:r w:rsidRPr="001024D1">
              <w:t xml:space="preserve">The cohort coordination and development team will ensure that processes adopted are consistent across all participating IROs. </w:t>
            </w:r>
          </w:p>
          <w:p w14:paraId="58323444" w14:textId="77777777" w:rsidR="00921442" w:rsidRDefault="00BF0314">
            <w:pPr>
              <w:numPr>
                <w:ilvl w:val="0"/>
                <w:numId w:val="9"/>
              </w:numPr>
              <w:pBdr>
                <w:left w:val="none" w:sz="0" w:space="7" w:color="auto"/>
              </w:pBdr>
              <w:ind w:hanging="430"/>
              <w:rPr>
                <w:rFonts w:ascii="Times New Roman" w:eastAsia="Times New Roman" w:hAnsi="Times New Roman" w:cs="Times New Roman"/>
                <w:color w:val="000000"/>
              </w:rPr>
            </w:pPr>
            <w:r>
              <w:rPr>
                <w:color w:val="000000"/>
              </w:rPr>
              <w:t xml:space="preserve">The </w:t>
            </w:r>
            <w:r w:rsidRPr="002A79C2">
              <w:t xml:space="preserve">cohort </w:t>
            </w:r>
            <w:r>
              <w:rPr>
                <w:color w:val="000000"/>
              </w:rPr>
              <w:t>coordination and development team will work closely with participating IROs to ensure that the membership of IRO EoI selection panels is diverse and is representative of the relevant stakeholders.</w:t>
            </w:r>
          </w:p>
          <w:p w14:paraId="58323445" w14:textId="6B1162FE" w:rsidR="00921442" w:rsidRDefault="00BF0314">
            <w:pPr>
              <w:numPr>
                <w:ilvl w:val="0"/>
                <w:numId w:val="9"/>
              </w:numPr>
              <w:pBdr>
                <w:left w:val="none" w:sz="0" w:space="7" w:color="auto"/>
              </w:pBdr>
              <w:ind w:hanging="430"/>
              <w:rPr>
                <w:rFonts w:ascii="Times New Roman" w:eastAsia="Times New Roman" w:hAnsi="Times New Roman" w:cs="Times New Roman"/>
                <w:color w:val="000000"/>
              </w:rPr>
            </w:pPr>
            <w:r>
              <w:rPr>
                <w:color w:val="000000"/>
              </w:rPr>
              <w:t xml:space="preserve">Everyone involved in the decision-making process will receive training in unconscious bias (delivered either locally through participating IROs or </w:t>
            </w:r>
            <w:r w:rsidRPr="002A79C2">
              <w:t xml:space="preserve">through </w:t>
            </w:r>
            <w:r>
              <w:rPr>
                <w:color w:val="000000"/>
              </w:rPr>
              <w:t>scheme coordination and development team) to raise awareness of conditions that may impact on their decision making.</w:t>
            </w:r>
          </w:p>
          <w:p w14:paraId="58323446" w14:textId="77777777" w:rsidR="00921442" w:rsidRDefault="00BF0314">
            <w:pPr>
              <w:numPr>
                <w:ilvl w:val="0"/>
                <w:numId w:val="9"/>
              </w:numPr>
              <w:pBdr>
                <w:left w:val="none" w:sz="0" w:space="7" w:color="auto"/>
              </w:pBdr>
              <w:ind w:hanging="430"/>
              <w:rPr>
                <w:rFonts w:ascii="Times New Roman" w:eastAsia="Times New Roman" w:hAnsi="Times New Roman" w:cs="Times New Roman"/>
                <w:color w:val="000000"/>
              </w:rPr>
            </w:pPr>
            <w:r>
              <w:rPr>
                <w:color w:val="000000"/>
              </w:rPr>
              <w:t>Panel members will be briefed throughout the EoI process about good practice in objective and safeguarding decision making.</w:t>
            </w:r>
          </w:p>
          <w:p w14:paraId="58323447" w14:textId="77777777" w:rsidR="00921442" w:rsidRDefault="00BF0314">
            <w:pPr>
              <w:numPr>
                <w:ilvl w:val="0"/>
                <w:numId w:val="9"/>
              </w:numPr>
              <w:pBdr>
                <w:left w:val="none" w:sz="0" w:space="7" w:color="auto"/>
              </w:pBdr>
              <w:ind w:hanging="430"/>
              <w:rPr>
                <w:rFonts w:ascii="Times New Roman" w:eastAsia="Times New Roman" w:hAnsi="Times New Roman" w:cs="Times New Roman"/>
                <w:color w:val="000000"/>
              </w:rPr>
            </w:pPr>
            <w:r>
              <w:rPr>
                <w:color w:val="000000"/>
              </w:rPr>
              <w:t>The scheme coordination and development team will work closely with participating IROs to ensure that the format, duration and location of the assessment meetings and the venue itself (if face-to-face) are conducive to participation by a diverse range of people.</w:t>
            </w:r>
          </w:p>
          <w:p w14:paraId="58323448" w14:textId="77777777" w:rsidR="00921442" w:rsidRDefault="00BF0314">
            <w:pPr>
              <w:numPr>
                <w:ilvl w:val="0"/>
                <w:numId w:val="9"/>
              </w:numPr>
              <w:pBdr>
                <w:left w:val="none" w:sz="0" w:space="7" w:color="auto"/>
              </w:pBdr>
              <w:ind w:hanging="430"/>
              <w:rPr>
                <w:rFonts w:ascii="Times New Roman" w:eastAsia="Times New Roman" w:hAnsi="Times New Roman" w:cs="Times New Roman"/>
                <w:color w:val="000000"/>
              </w:rPr>
            </w:pPr>
            <w:r>
              <w:rPr>
                <w:color w:val="000000"/>
              </w:rPr>
              <w:t xml:space="preserve">Virtual meetings are arranged using an appropriate platform that can be accessed by all panel members (Teams, Zoom) </w:t>
            </w:r>
          </w:p>
          <w:p w14:paraId="58323449" w14:textId="150F8E75" w:rsidR="00921442" w:rsidRDefault="00BF0314">
            <w:pPr>
              <w:numPr>
                <w:ilvl w:val="0"/>
                <w:numId w:val="9"/>
              </w:numPr>
              <w:pBdr>
                <w:left w:val="none" w:sz="0" w:space="7" w:color="auto"/>
              </w:pBdr>
              <w:ind w:hanging="430"/>
              <w:rPr>
                <w:rFonts w:ascii="Times New Roman" w:eastAsia="Times New Roman" w:hAnsi="Times New Roman" w:cs="Times New Roman"/>
                <w:color w:val="000000"/>
              </w:rPr>
            </w:pPr>
            <w:r>
              <w:rPr>
                <w:color w:val="000000"/>
              </w:rPr>
              <w:t xml:space="preserve">Participation for people with </w:t>
            </w:r>
            <w:r w:rsidR="002A79C2">
              <w:rPr>
                <w:color w:val="000000"/>
              </w:rPr>
              <w:t>flexible</w:t>
            </w:r>
            <w:r>
              <w:rPr>
                <w:color w:val="000000"/>
              </w:rPr>
              <w:t xml:space="preserve"> work patterns, including reduced working hours, will be facilitated. </w:t>
            </w:r>
          </w:p>
          <w:p w14:paraId="5832344A" w14:textId="77777777" w:rsidR="00921442" w:rsidRDefault="00921442">
            <w:pPr>
              <w:ind w:left="720"/>
              <w:rPr>
                <w:color w:val="000000"/>
              </w:rPr>
            </w:pPr>
          </w:p>
          <w:p w14:paraId="5832344B" w14:textId="77777777" w:rsidR="00921442" w:rsidRDefault="00BF0314">
            <w:pPr>
              <w:rPr>
                <w:color w:val="000000"/>
              </w:rPr>
            </w:pPr>
            <w:r>
              <w:rPr>
                <w:color w:val="000000"/>
              </w:rPr>
              <w:t>For full application peer reviewers and moderating panel members:</w:t>
            </w:r>
          </w:p>
          <w:p w14:paraId="5832344C" w14:textId="77777777" w:rsidR="00921442" w:rsidRDefault="00921442">
            <w:pPr>
              <w:rPr>
                <w:color w:val="000000"/>
              </w:rPr>
            </w:pPr>
          </w:p>
          <w:p w14:paraId="5832344D" w14:textId="77777777" w:rsidR="00921442" w:rsidRDefault="00BF0314">
            <w:pPr>
              <w:numPr>
                <w:ilvl w:val="0"/>
                <w:numId w:val="10"/>
              </w:numPr>
              <w:pBdr>
                <w:left w:val="none" w:sz="0" w:space="7" w:color="auto"/>
              </w:pBdr>
              <w:ind w:hanging="430"/>
              <w:rPr>
                <w:rFonts w:ascii="Times New Roman" w:eastAsia="Times New Roman" w:hAnsi="Times New Roman" w:cs="Times New Roman"/>
                <w:color w:val="000000"/>
              </w:rPr>
            </w:pPr>
            <w:r>
              <w:rPr>
                <w:color w:val="000000"/>
              </w:rPr>
              <w:t xml:space="preserve">Full applications will be assessed by an AHRC-appointed peer-review and moderation panel process. For further details see AHRC-authored Equality Impact Assessment. </w:t>
            </w:r>
          </w:p>
          <w:p w14:paraId="5832344E" w14:textId="77777777" w:rsidR="00921442" w:rsidRDefault="00921442">
            <w:pPr>
              <w:pBdr>
                <w:left w:val="none" w:sz="0" w:space="7" w:color="auto"/>
              </w:pBdr>
              <w:spacing w:line="240" w:lineRule="auto"/>
              <w:ind w:left="140"/>
              <w:rPr>
                <w:rFonts w:ascii="Times New Roman" w:eastAsia="Times New Roman" w:hAnsi="Times New Roman" w:cs="Times New Roman"/>
                <w:color w:val="000000"/>
              </w:rPr>
            </w:pPr>
          </w:p>
          <w:p w14:paraId="5832344F" w14:textId="77777777" w:rsidR="00921442" w:rsidRDefault="00921442">
            <w:pPr>
              <w:pBdr>
                <w:left w:val="none" w:sz="0" w:space="7" w:color="auto"/>
              </w:pBdr>
              <w:spacing w:line="240" w:lineRule="auto"/>
              <w:ind w:left="720"/>
              <w:rPr>
                <w:rFonts w:ascii="Times New Roman" w:eastAsia="Times New Roman" w:hAnsi="Times New Roman" w:cs="Times New Roman"/>
                <w:color w:val="000000"/>
              </w:rPr>
            </w:pPr>
          </w:p>
        </w:tc>
      </w:tr>
      <w:tr w:rsidR="00921442" w14:paraId="58323459" w14:textId="77777777">
        <w:tc>
          <w:tcPr>
            <w:tcW w:w="2405"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51" w14:textId="77777777" w:rsidR="00921442" w:rsidRDefault="00BF0314">
            <w:pPr>
              <w:numPr>
                <w:ilvl w:val="0"/>
                <w:numId w:val="11"/>
              </w:numPr>
              <w:pBdr>
                <w:left w:val="none" w:sz="0" w:space="4" w:color="auto"/>
              </w:pBdr>
              <w:spacing w:line="240" w:lineRule="auto"/>
              <w:ind w:left="360"/>
              <w:rPr>
                <w:b/>
                <w:bCs/>
                <w:color w:val="000000"/>
              </w:rPr>
            </w:pPr>
            <w:r>
              <w:rPr>
                <w:b/>
                <w:bCs/>
                <w:color w:val="000000"/>
              </w:rPr>
              <w:lastRenderedPageBreak/>
              <w:t>What are the arrangements for monitoring and reviewing the actual impact of the policy/funding activity/event?</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52" w14:textId="77777777" w:rsidR="00921442" w:rsidRDefault="00BF0314">
            <w:pPr>
              <w:spacing w:line="240" w:lineRule="auto"/>
              <w:rPr>
                <w:color w:val="000000"/>
              </w:rPr>
            </w:pPr>
            <w:r>
              <w:rPr>
                <w:color w:val="000000"/>
              </w:rPr>
              <w:t>The scheme coordination and development team will work with AHRC to monitor, analyse and publish data to better understand the diversity of our applicant community. During Phase 1 of the Fellowship the following actions will be taken:</w:t>
            </w:r>
          </w:p>
          <w:p w14:paraId="58323453" w14:textId="77777777" w:rsidR="00921442" w:rsidRDefault="00BF0314">
            <w:pPr>
              <w:spacing w:line="240" w:lineRule="auto"/>
              <w:jc w:val="both"/>
              <w:rPr>
                <w:color w:val="000000"/>
              </w:rPr>
            </w:pPr>
            <w:r>
              <w:rPr>
                <w:color w:val="000000"/>
              </w:rPr>
              <w:t>1. Equality, Diversity and Inclusion monitoring forms completed at three milestones: a) attendance at in person/online townhall events; b) submission of EoIs to Scheme Coordinator; c) submission of selected fellowship projects via Je-S.</w:t>
            </w:r>
            <w:r>
              <w:rPr>
                <w:color w:val="633277"/>
              </w:rPr>
              <w:t xml:space="preserve"> </w:t>
            </w:r>
            <w:r w:rsidRPr="00352A9B">
              <w:t>These milestones may be subject to revision during the project. This will be noted in Version Control below.</w:t>
            </w:r>
          </w:p>
          <w:p w14:paraId="58323454" w14:textId="77777777" w:rsidR="00921442" w:rsidRDefault="00BF0314">
            <w:pPr>
              <w:spacing w:line="240" w:lineRule="auto"/>
              <w:jc w:val="both"/>
              <w:rPr>
                <w:color w:val="000000"/>
              </w:rPr>
            </w:pPr>
            <w:r>
              <w:rPr>
                <w:color w:val="000000"/>
              </w:rPr>
              <w:t>2. Post-event evaluation forms will be circulated to all in-person and online townhall attendees (December 2022 – January 2023).</w:t>
            </w:r>
          </w:p>
          <w:p w14:paraId="58323455" w14:textId="77777777" w:rsidR="00921442" w:rsidRDefault="00BF0314">
            <w:pPr>
              <w:spacing w:line="240" w:lineRule="auto"/>
              <w:jc w:val="both"/>
              <w:rPr>
                <w:color w:val="000000"/>
              </w:rPr>
            </w:pPr>
            <w:r>
              <w:rPr>
                <w:color w:val="000000"/>
              </w:rPr>
              <w:t xml:space="preserve">3. An end-of-Phase 1 survey will be circulated to fellowship applicants and IROs to capture insights from all involved parties once the Expression of Interest phase has concluded, and Fellowships have been awarded. Through this end-of-phase evaluation process we will gather feedback about characteristics of the application process, if/how it met the applicants’ needs, as well as gather comments on how AHRC and the Scheme Coordinator could improve delivery of the scheme. </w:t>
            </w:r>
          </w:p>
          <w:p w14:paraId="58323456" w14:textId="77777777" w:rsidR="00921442" w:rsidRDefault="00921442">
            <w:pPr>
              <w:spacing w:line="240" w:lineRule="auto"/>
              <w:jc w:val="both"/>
              <w:rPr>
                <w:color w:val="000000"/>
              </w:rPr>
            </w:pPr>
          </w:p>
          <w:p w14:paraId="58323457" w14:textId="77777777" w:rsidR="00921442" w:rsidRDefault="00BF0314">
            <w:pPr>
              <w:spacing w:line="240" w:lineRule="auto"/>
              <w:rPr>
                <w:color w:val="000000"/>
              </w:rPr>
            </w:pPr>
            <w:r>
              <w:rPr>
                <w:color w:val="000000"/>
              </w:rPr>
              <w:t>This data will be subject to a data-sharing agreement between the Scheme Coordinator, AHRC and participating IROs. We will analyse and report on the data following the completion of the Phase 1 (Q1 2023) and as a part of evaluating the fellowship scheme in its entirety (Q1 2026).</w:t>
            </w:r>
          </w:p>
          <w:p w14:paraId="58323458" w14:textId="77777777" w:rsidR="00921442" w:rsidRDefault="00921442">
            <w:pPr>
              <w:spacing w:line="240" w:lineRule="auto"/>
              <w:jc w:val="both"/>
              <w:rPr>
                <w:color w:val="000000"/>
              </w:rPr>
            </w:pPr>
          </w:p>
        </w:tc>
      </w:tr>
    </w:tbl>
    <w:p w14:paraId="5832345A" w14:textId="77777777" w:rsidR="00921442" w:rsidRDefault="00921442">
      <w:pPr>
        <w:rPr>
          <w:b/>
          <w:bCs/>
        </w:rPr>
      </w:pPr>
    </w:p>
    <w:p w14:paraId="5832345B" w14:textId="77777777" w:rsidR="00921442" w:rsidRDefault="00921442">
      <w:pPr>
        <w:rPr>
          <w:b/>
          <w:bC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57"/>
        <w:gridCol w:w="1025"/>
        <w:gridCol w:w="2767"/>
        <w:gridCol w:w="3567"/>
      </w:tblGrid>
      <w:tr w:rsidR="00921442" w14:paraId="58323463" w14:textId="77777777">
        <w:tc>
          <w:tcPr>
            <w:tcW w:w="1555" w:type="dxa"/>
            <w:tcBorders>
              <w:bottom w:val="single" w:sz="4" w:space="0" w:color="000000"/>
              <w:right w:val="single" w:sz="4" w:space="0" w:color="000000"/>
            </w:tcBorders>
            <w:shd w:val="clear" w:color="auto" w:fill="C6D9F0"/>
            <w:tcMar>
              <w:top w:w="0" w:type="dxa"/>
              <w:left w:w="108" w:type="dxa"/>
              <w:bottom w:w="0" w:type="dxa"/>
              <w:right w:w="108" w:type="dxa"/>
            </w:tcMar>
            <w:hideMark/>
          </w:tcPr>
          <w:p w14:paraId="5832345C" w14:textId="77777777" w:rsidR="00921442" w:rsidRDefault="00BF0314">
            <w:pPr>
              <w:spacing w:line="240" w:lineRule="auto"/>
              <w:rPr>
                <w:color w:val="000000"/>
                <w:sz w:val="20"/>
                <w:szCs w:val="20"/>
              </w:rPr>
            </w:pPr>
            <w:r>
              <w:rPr>
                <w:b/>
                <w:bCs/>
                <w:color w:val="000000"/>
                <w:sz w:val="20"/>
                <w:szCs w:val="20"/>
              </w:rPr>
              <w:t xml:space="preserve">Protected Characteristic Group </w:t>
            </w:r>
          </w:p>
        </w:tc>
        <w:tc>
          <w:tcPr>
            <w:tcW w:w="992" w:type="dxa"/>
            <w:tcBorders>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5D" w14:textId="77777777" w:rsidR="00921442" w:rsidRDefault="00BF0314">
            <w:pPr>
              <w:spacing w:line="240" w:lineRule="auto"/>
              <w:rPr>
                <w:color w:val="000000"/>
                <w:sz w:val="20"/>
                <w:szCs w:val="20"/>
              </w:rPr>
            </w:pPr>
            <w:r>
              <w:rPr>
                <w:b/>
                <w:bCs/>
                <w:color w:val="000000"/>
                <w:sz w:val="20"/>
                <w:szCs w:val="20"/>
              </w:rPr>
              <w:t>Is there a potential for positive or negative impact?</w:t>
            </w:r>
          </w:p>
        </w:tc>
        <w:tc>
          <w:tcPr>
            <w:tcW w:w="2835" w:type="dxa"/>
            <w:tcBorders>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5E" w14:textId="77777777" w:rsidR="00921442" w:rsidRDefault="00BF0314">
            <w:pPr>
              <w:spacing w:line="240" w:lineRule="auto"/>
              <w:rPr>
                <w:color w:val="000000"/>
                <w:sz w:val="20"/>
                <w:szCs w:val="20"/>
              </w:rPr>
            </w:pPr>
            <w:r>
              <w:rPr>
                <w:b/>
                <w:bCs/>
                <w:color w:val="000000"/>
                <w:sz w:val="20"/>
                <w:szCs w:val="20"/>
              </w:rPr>
              <w:t>Please explain and give examples of any evidence/data used</w:t>
            </w:r>
          </w:p>
        </w:tc>
        <w:tc>
          <w:tcPr>
            <w:tcW w:w="3634" w:type="dxa"/>
            <w:tcBorders>
              <w:left w:val="single" w:sz="4" w:space="0" w:color="000000"/>
              <w:bottom w:val="single" w:sz="4" w:space="0" w:color="000000"/>
            </w:tcBorders>
            <w:shd w:val="clear" w:color="auto" w:fill="C6D9F0"/>
            <w:tcMar>
              <w:top w:w="0" w:type="dxa"/>
              <w:left w:w="108" w:type="dxa"/>
              <w:bottom w:w="0" w:type="dxa"/>
              <w:right w:w="108" w:type="dxa"/>
            </w:tcMar>
            <w:hideMark/>
          </w:tcPr>
          <w:p w14:paraId="5832345F" w14:textId="77777777" w:rsidR="00921442" w:rsidRDefault="00BF0314">
            <w:pPr>
              <w:spacing w:line="240" w:lineRule="auto"/>
              <w:rPr>
                <w:color w:val="000000"/>
                <w:sz w:val="20"/>
                <w:szCs w:val="20"/>
              </w:rPr>
            </w:pPr>
            <w:r>
              <w:rPr>
                <w:b/>
                <w:bCs/>
                <w:color w:val="000000"/>
                <w:sz w:val="20"/>
                <w:szCs w:val="20"/>
              </w:rPr>
              <w:t>Action to address negative impact (e.g. adjustment to the policy)</w:t>
            </w:r>
          </w:p>
          <w:p w14:paraId="58323460" w14:textId="77777777" w:rsidR="00921442" w:rsidRDefault="00921442">
            <w:pPr>
              <w:spacing w:line="240" w:lineRule="auto"/>
              <w:rPr>
                <w:b/>
                <w:bCs/>
                <w:color w:val="000000"/>
                <w:sz w:val="20"/>
                <w:szCs w:val="20"/>
              </w:rPr>
            </w:pPr>
          </w:p>
          <w:p w14:paraId="58323461" w14:textId="77777777" w:rsidR="00921442" w:rsidRDefault="00921442">
            <w:pPr>
              <w:spacing w:line="240" w:lineRule="auto"/>
              <w:rPr>
                <w:b/>
                <w:bCs/>
                <w:color w:val="000000"/>
                <w:sz w:val="20"/>
                <w:szCs w:val="20"/>
              </w:rPr>
            </w:pPr>
          </w:p>
          <w:p w14:paraId="58323462" w14:textId="77777777" w:rsidR="00921442" w:rsidRDefault="00921442">
            <w:pPr>
              <w:spacing w:line="240" w:lineRule="auto"/>
              <w:rPr>
                <w:b/>
                <w:bCs/>
                <w:color w:val="000000"/>
                <w:sz w:val="20"/>
                <w:szCs w:val="20"/>
              </w:rPr>
            </w:pPr>
          </w:p>
        </w:tc>
      </w:tr>
      <w:tr w:rsidR="00921442" w14:paraId="583234AF" w14:textId="77777777">
        <w:trPr>
          <w:trHeight w:val="331"/>
        </w:trPr>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64" w14:textId="77777777" w:rsidR="00921442" w:rsidRDefault="00BF0314">
            <w:pPr>
              <w:spacing w:line="240" w:lineRule="auto"/>
              <w:rPr>
                <w:color w:val="000000"/>
              </w:rPr>
            </w:pPr>
            <w:r>
              <w:rPr>
                <w:b/>
                <w:bCs/>
                <w:color w:val="000000"/>
              </w:rPr>
              <w:t>Disability</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65" w14:textId="77777777" w:rsidR="00921442" w:rsidRDefault="00BF0314">
            <w:pPr>
              <w:spacing w:line="240" w:lineRule="auto"/>
              <w:rPr>
                <w:color w:val="000000"/>
              </w:rPr>
            </w:pPr>
            <w:r>
              <w:rPr>
                <w:color w:val="000000"/>
              </w:rPr>
              <w:t>Possible negative impact</w:t>
            </w:r>
          </w:p>
          <w:p w14:paraId="58323466" w14:textId="77777777" w:rsidR="00921442" w:rsidRDefault="00921442">
            <w:pPr>
              <w:spacing w:line="240"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67" w14:textId="503B36A9" w:rsidR="00921442" w:rsidRDefault="00BF0314">
            <w:pPr>
              <w:spacing w:line="240" w:lineRule="auto"/>
              <w:rPr>
                <w:color w:val="000000"/>
              </w:rPr>
            </w:pPr>
            <w:r>
              <w:rPr>
                <w:color w:val="000000"/>
              </w:rPr>
              <w:t xml:space="preserve">The scheme coordination and development team recognize the broad spectrum of disability and as such appreciate that not every barrier can be anticipated. </w:t>
            </w:r>
          </w:p>
          <w:p w14:paraId="58323468" w14:textId="77777777" w:rsidR="00921442" w:rsidRDefault="00921442">
            <w:pPr>
              <w:spacing w:line="240" w:lineRule="auto"/>
              <w:rPr>
                <w:color w:val="000000"/>
              </w:rPr>
            </w:pPr>
          </w:p>
          <w:p w14:paraId="3B2C87A0" w14:textId="77777777" w:rsidR="0049632C" w:rsidRDefault="0049632C">
            <w:pPr>
              <w:spacing w:line="240" w:lineRule="auto"/>
              <w:rPr>
                <w:color w:val="000000"/>
              </w:rPr>
            </w:pPr>
          </w:p>
          <w:p w14:paraId="7EC1AD2C" w14:textId="77777777" w:rsidR="0049632C" w:rsidRDefault="0049632C">
            <w:pPr>
              <w:spacing w:line="240" w:lineRule="auto"/>
              <w:rPr>
                <w:color w:val="000000"/>
              </w:rPr>
            </w:pPr>
          </w:p>
          <w:p w14:paraId="708904CD" w14:textId="77777777" w:rsidR="0049632C" w:rsidRDefault="0049632C">
            <w:pPr>
              <w:spacing w:line="240" w:lineRule="auto"/>
              <w:rPr>
                <w:color w:val="000000"/>
              </w:rPr>
            </w:pPr>
          </w:p>
          <w:p w14:paraId="58323469" w14:textId="671D77C7" w:rsidR="00921442" w:rsidRDefault="00BF0314">
            <w:pPr>
              <w:spacing w:line="240" w:lineRule="auto"/>
              <w:rPr>
                <w:color w:val="000000"/>
              </w:rPr>
            </w:pPr>
            <w:r>
              <w:rPr>
                <w:color w:val="000000"/>
              </w:rPr>
              <w:t xml:space="preserve">In case of direct (i.e. in-person) </w:t>
            </w:r>
            <w:r w:rsidR="0049632C">
              <w:rPr>
                <w:color w:val="000000"/>
              </w:rPr>
              <w:t>interactions, participants</w:t>
            </w:r>
            <w:r>
              <w:rPr>
                <w:color w:val="000000"/>
              </w:rPr>
              <w:t xml:space="preserve"> with specific accessibility constraints may be disinclined to participate unless reasonable adjustments are made. </w:t>
            </w:r>
          </w:p>
          <w:p w14:paraId="5832346A" w14:textId="77777777" w:rsidR="00921442" w:rsidRDefault="00921442">
            <w:pPr>
              <w:spacing w:line="240" w:lineRule="auto"/>
              <w:rPr>
                <w:color w:val="000000"/>
              </w:rPr>
            </w:pPr>
          </w:p>
          <w:p w14:paraId="5832346B" w14:textId="77777777" w:rsidR="00921442" w:rsidRDefault="00921442">
            <w:pPr>
              <w:spacing w:line="240" w:lineRule="auto"/>
              <w:rPr>
                <w:color w:val="000000"/>
              </w:rPr>
            </w:pPr>
          </w:p>
          <w:p w14:paraId="5832346C" w14:textId="77777777" w:rsidR="00921442" w:rsidRDefault="00921442">
            <w:pPr>
              <w:spacing w:line="240" w:lineRule="auto"/>
              <w:rPr>
                <w:color w:val="000000"/>
              </w:rPr>
            </w:pPr>
          </w:p>
          <w:p w14:paraId="5832346D" w14:textId="77777777" w:rsidR="00921442" w:rsidRDefault="00921442">
            <w:pPr>
              <w:spacing w:line="240" w:lineRule="auto"/>
              <w:rPr>
                <w:color w:val="000000"/>
              </w:rPr>
            </w:pPr>
          </w:p>
          <w:p w14:paraId="5832346E" w14:textId="77777777" w:rsidR="00921442" w:rsidRDefault="00921442">
            <w:pPr>
              <w:spacing w:line="240" w:lineRule="auto"/>
              <w:rPr>
                <w:color w:val="000000"/>
              </w:rPr>
            </w:pPr>
          </w:p>
          <w:p w14:paraId="5832346F" w14:textId="77777777" w:rsidR="00921442" w:rsidRDefault="00921442">
            <w:pPr>
              <w:spacing w:line="240" w:lineRule="auto"/>
              <w:rPr>
                <w:color w:val="000000"/>
              </w:rPr>
            </w:pPr>
          </w:p>
          <w:p w14:paraId="58323470" w14:textId="77777777" w:rsidR="00921442" w:rsidRDefault="00921442">
            <w:pPr>
              <w:spacing w:line="240" w:lineRule="auto"/>
              <w:rPr>
                <w:color w:val="000000"/>
              </w:rPr>
            </w:pPr>
          </w:p>
          <w:p w14:paraId="58323471" w14:textId="77777777" w:rsidR="00921442" w:rsidRDefault="00921442">
            <w:pPr>
              <w:spacing w:line="240" w:lineRule="auto"/>
              <w:rPr>
                <w:color w:val="000000"/>
              </w:rPr>
            </w:pPr>
          </w:p>
          <w:p w14:paraId="58323472" w14:textId="77777777" w:rsidR="00921442" w:rsidRDefault="00921442">
            <w:pPr>
              <w:spacing w:line="240" w:lineRule="auto"/>
              <w:rPr>
                <w:color w:val="000000"/>
              </w:rPr>
            </w:pPr>
          </w:p>
          <w:p w14:paraId="58323473" w14:textId="77777777" w:rsidR="00921442" w:rsidRDefault="00921442">
            <w:pPr>
              <w:spacing w:line="240" w:lineRule="auto"/>
              <w:rPr>
                <w:color w:val="000000"/>
              </w:rPr>
            </w:pPr>
          </w:p>
          <w:p w14:paraId="58323474" w14:textId="77777777" w:rsidR="00921442" w:rsidRDefault="00921442">
            <w:pPr>
              <w:spacing w:line="240" w:lineRule="auto"/>
              <w:rPr>
                <w:color w:val="000000"/>
              </w:rPr>
            </w:pPr>
          </w:p>
          <w:p w14:paraId="58323475" w14:textId="77777777" w:rsidR="00921442" w:rsidRDefault="00921442">
            <w:pPr>
              <w:spacing w:line="240" w:lineRule="auto"/>
              <w:rPr>
                <w:color w:val="000000"/>
              </w:rPr>
            </w:pPr>
          </w:p>
          <w:p w14:paraId="58323476" w14:textId="77777777" w:rsidR="00921442" w:rsidRDefault="00921442">
            <w:pPr>
              <w:spacing w:line="240" w:lineRule="auto"/>
              <w:rPr>
                <w:color w:val="000000"/>
              </w:rPr>
            </w:pPr>
          </w:p>
          <w:p w14:paraId="58323477" w14:textId="77777777" w:rsidR="00921442" w:rsidRDefault="00921442">
            <w:pPr>
              <w:spacing w:line="240" w:lineRule="auto"/>
              <w:rPr>
                <w:color w:val="000000"/>
              </w:rPr>
            </w:pPr>
          </w:p>
          <w:p w14:paraId="58323478" w14:textId="77777777" w:rsidR="00921442" w:rsidRDefault="00921442">
            <w:pPr>
              <w:spacing w:line="240" w:lineRule="auto"/>
              <w:rPr>
                <w:color w:val="000000"/>
              </w:rPr>
            </w:pPr>
          </w:p>
          <w:p w14:paraId="58323479" w14:textId="77777777" w:rsidR="00921442" w:rsidRDefault="00921442">
            <w:pPr>
              <w:spacing w:line="240" w:lineRule="auto"/>
              <w:rPr>
                <w:color w:val="000000"/>
              </w:rPr>
            </w:pPr>
          </w:p>
          <w:p w14:paraId="5832347A" w14:textId="77777777" w:rsidR="00921442" w:rsidRDefault="00921442">
            <w:pPr>
              <w:spacing w:line="240" w:lineRule="auto"/>
              <w:rPr>
                <w:color w:val="000000"/>
              </w:rPr>
            </w:pPr>
          </w:p>
          <w:p w14:paraId="5832347B" w14:textId="77777777" w:rsidR="00921442" w:rsidRDefault="00921442">
            <w:pPr>
              <w:spacing w:line="240" w:lineRule="auto"/>
              <w:rPr>
                <w:color w:val="000000"/>
              </w:rPr>
            </w:pPr>
          </w:p>
          <w:p w14:paraId="5832347C" w14:textId="77777777" w:rsidR="00921442" w:rsidRDefault="00921442">
            <w:pPr>
              <w:spacing w:line="240" w:lineRule="auto"/>
              <w:rPr>
                <w:color w:val="000000"/>
              </w:rPr>
            </w:pPr>
          </w:p>
          <w:p w14:paraId="5832347D" w14:textId="77777777" w:rsidR="00921442" w:rsidRDefault="00921442">
            <w:pPr>
              <w:spacing w:line="240" w:lineRule="auto"/>
              <w:rPr>
                <w:color w:val="000000"/>
              </w:rPr>
            </w:pPr>
          </w:p>
          <w:p w14:paraId="5832347E" w14:textId="77777777" w:rsidR="00921442" w:rsidRDefault="00921442">
            <w:pPr>
              <w:spacing w:line="240" w:lineRule="auto"/>
              <w:rPr>
                <w:color w:val="000000"/>
              </w:rPr>
            </w:pPr>
          </w:p>
          <w:p w14:paraId="5832347F" w14:textId="77777777" w:rsidR="00921442" w:rsidRDefault="00921442">
            <w:pPr>
              <w:spacing w:line="240" w:lineRule="auto"/>
              <w:rPr>
                <w:color w:val="000000"/>
              </w:rPr>
            </w:pPr>
          </w:p>
          <w:p w14:paraId="58323480" w14:textId="77777777" w:rsidR="00921442" w:rsidRDefault="00921442">
            <w:pPr>
              <w:spacing w:line="240" w:lineRule="auto"/>
              <w:rPr>
                <w:color w:val="000000"/>
              </w:rPr>
            </w:pPr>
          </w:p>
          <w:p w14:paraId="58323481" w14:textId="77777777" w:rsidR="00921442" w:rsidRDefault="00921442">
            <w:pPr>
              <w:spacing w:line="240" w:lineRule="auto"/>
              <w:rPr>
                <w:color w:val="000000"/>
              </w:rPr>
            </w:pPr>
          </w:p>
          <w:p w14:paraId="58323482" w14:textId="77777777" w:rsidR="00921442" w:rsidRDefault="00921442">
            <w:pPr>
              <w:spacing w:line="240" w:lineRule="auto"/>
              <w:rPr>
                <w:color w:val="000000"/>
              </w:rPr>
            </w:pPr>
          </w:p>
          <w:p w14:paraId="58323483" w14:textId="77777777" w:rsidR="00921442" w:rsidRDefault="00921442">
            <w:pPr>
              <w:spacing w:line="240" w:lineRule="auto"/>
              <w:rPr>
                <w:color w:val="000000"/>
              </w:rPr>
            </w:pPr>
          </w:p>
          <w:p w14:paraId="58323484" w14:textId="77777777" w:rsidR="00921442" w:rsidRDefault="00921442">
            <w:pPr>
              <w:spacing w:line="240" w:lineRule="auto"/>
              <w:rPr>
                <w:color w:val="000000"/>
              </w:rPr>
            </w:pPr>
          </w:p>
          <w:p w14:paraId="58323485" w14:textId="77777777" w:rsidR="00921442" w:rsidRDefault="00921442">
            <w:pPr>
              <w:spacing w:line="240" w:lineRule="auto"/>
              <w:rPr>
                <w:color w:val="000000"/>
              </w:rPr>
            </w:pPr>
          </w:p>
          <w:p w14:paraId="58323486" w14:textId="77777777" w:rsidR="00921442" w:rsidRDefault="00921442">
            <w:pPr>
              <w:spacing w:line="240" w:lineRule="auto"/>
              <w:rPr>
                <w:color w:val="000000"/>
              </w:rPr>
            </w:pPr>
          </w:p>
          <w:p w14:paraId="58323487" w14:textId="77777777" w:rsidR="00921442" w:rsidRDefault="00921442">
            <w:pPr>
              <w:spacing w:line="240" w:lineRule="auto"/>
              <w:rPr>
                <w:color w:val="000000"/>
              </w:rPr>
            </w:pPr>
          </w:p>
          <w:p w14:paraId="58323488" w14:textId="77777777" w:rsidR="00921442" w:rsidRDefault="00921442">
            <w:pPr>
              <w:spacing w:line="240" w:lineRule="auto"/>
              <w:rPr>
                <w:color w:val="000000"/>
              </w:rPr>
            </w:pPr>
          </w:p>
          <w:p w14:paraId="58323489" w14:textId="77777777" w:rsidR="00921442" w:rsidRDefault="00921442">
            <w:pPr>
              <w:spacing w:line="240" w:lineRule="auto"/>
              <w:rPr>
                <w:color w:val="000000"/>
              </w:rPr>
            </w:pPr>
          </w:p>
          <w:p w14:paraId="5832348F" w14:textId="77777777" w:rsidR="00921442" w:rsidRDefault="00BF0314">
            <w:pPr>
              <w:spacing w:line="240" w:lineRule="auto"/>
              <w:rPr>
                <w:color w:val="000000"/>
              </w:rPr>
            </w:pPr>
            <w:r>
              <w:rPr>
                <w:color w:val="000000"/>
              </w:rPr>
              <w:t>Neurodivergent participants may experience difficulties with concentration or when using electronic documentation.</w:t>
            </w:r>
          </w:p>
          <w:p w14:paraId="58323490" w14:textId="77777777" w:rsidR="00921442" w:rsidRDefault="00921442">
            <w:pPr>
              <w:spacing w:line="240" w:lineRule="auto"/>
              <w:rPr>
                <w:color w:val="000000"/>
              </w:rPr>
            </w:pPr>
          </w:p>
          <w:p w14:paraId="58323491" w14:textId="77777777" w:rsidR="00921442" w:rsidRDefault="00921442">
            <w:pPr>
              <w:spacing w:line="240" w:lineRule="auto"/>
              <w:rPr>
                <w:color w:val="000000"/>
              </w:rPr>
            </w:pPr>
          </w:p>
          <w:p w14:paraId="58323492" w14:textId="77777777" w:rsidR="00921442" w:rsidRDefault="00921442">
            <w:pPr>
              <w:spacing w:line="240" w:lineRule="auto"/>
              <w:rPr>
                <w:color w:val="000000"/>
              </w:rPr>
            </w:pPr>
          </w:p>
          <w:p w14:paraId="58323493" w14:textId="77777777" w:rsidR="00921442" w:rsidRDefault="00921442">
            <w:pPr>
              <w:spacing w:line="240" w:lineRule="auto"/>
              <w:rPr>
                <w:color w:val="000000"/>
              </w:rPr>
            </w:pPr>
          </w:p>
          <w:p w14:paraId="58323494" w14:textId="77777777" w:rsidR="00921442" w:rsidRPr="0049632C" w:rsidRDefault="00921442">
            <w:pPr>
              <w:spacing w:line="240" w:lineRule="auto"/>
            </w:pPr>
          </w:p>
          <w:p w14:paraId="58323497" w14:textId="77777777" w:rsidR="00921442" w:rsidRPr="0049632C" w:rsidRDefault="00BF0314">
            <w:pPr>
              <w:spacing w:line="240" w:lineRule="auto"/>
            </w:pPr>
            <w:r w:rsidRPr="0049632C">
              <w:t>Participants with disabilities may have specific dietary requirements.</w:t>
            </w:r>
          </w:p>
          <w:p w14:paraId="58323498" w14:textId="77777777" w:rsidR="00921442" w:rsidRDefault="00921442">
            <w:pPr>
              <w:spacing w:line="240" w:lineRule="auto"/>
              <w:rPr>
                <w:color w:val="000000"/>
              </w:rPr>
            </w:pPr>
          </w:p>
          <w:p w14:paraId="58323499" w14:textId="77777777" w:rsidR="00921442" w:rsidRDefault="00921442">
            <w:pPr>
              <w:spacing w:line="240" w:lineRule="auto"/>
              <w:rPr>
                <w:color w:val="000000"/>
              </w:rPr>
            </w:pP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49A" w14:textId="77777777" w:rsidR="00921442" w:rsidRDefault="00BF0314">
            <w:pPr>
              <w:spacing w:line="240" w:lineRule="auto"/>
              <w:rPr>
                <w:color w:val="000000"/>
              </w:rPr>
            </w:pPr>
            <w:r>
              <w:rPr>
                <w:color w:val="000000"/>
              </w:rPr>
              <w:lastRenderedPageBreak/>
              <w:t>The Scheme Coordinator and AHRC has designed the activities within Phase 1 to allow participation of disabled people. All venues selected for Townhall meetings will be physically accessible, and extra provision made available to any attendee with specific access requirements.</w:t>
            </w:r>
          </w:p>
          <w:p w14:paraId="5832349B" w14:textId="77777777" w:rsidR="00921442" w:rsidRDefault="00921442">
            <w:pPr>
              <w:spacing w:line="240" w:lineRule="auto"/>
              <w:rPr>
                <w:color w:val="000000"/>
              </w:rPr>
            </w:pPr>
          </w:p>
          <w:p w14:paraId="5832349C" w14:textId="77777777" w:rsidR="00921442" w:rsidRDefault="00921442">
            <w:pPr>
              <w:spacing w:line="240" w:lineRule="auto"/>
              <w:rPr>
                <w:color w:val="000000"/>
              </w:rPr>
            </w:pPr>
          </w:p>
          <w:p w14:paraId="5832349D" w14:textId="7CEB3876" w:rsidR="00921442" w:rsidRDefault="00BF0314">
            <w:pPr>
              <w:spacing w:line="240" w:lineRule="auto"/>
              <w:rPr>
                <w:color w:val="000000"/>
              </w:rPr>
            </w:pPr>
            <w:r>
              <w:rPr>
                <w:color w:val="000000"/>
              </w:rPr>
              <w:t xml:space="preserve">Online platforms of engagement and participation (e.g. Zoom/Teams) can remove physical constraints and enable greater accessibility for people with mobility issues. </w:t>
            </w:r>
            <w:r w:rsidR="0049632C">
              <w:rPr>
                <w:color w:val="000000"/>
              </w:rPr>
              <w:t>At least one i</w:t>
            </w:r>
            <w:r>
              <w:rPr>
                <w:color w:val="000000"/>
              </w:rPr>
              <w:t xml:space="preserve">n person townhall meetings will be livestreamed </w:t>
            </w:r>
            <w:r w:rsidRPr="0049632C">
              <w:t xml:space="preserve">through such a </w:t>
            </w:r>
            <w:r w:rsidRPr="0049632C">
              <w:lastRenderedPageBreak/>
              <w:t xml:space="preserve">platform </w:t>
            </w:r>
            <w:r>
              <w:rPr>
                <w:color w:val="000000"/>
              </w:rPr>
              <w:t xml:space="preserve">during Phase 1, alongside three online only sessions. Due consideration will be given to the needs of people who find videoconferencing challenging (e.g. due to being neurodivergent or other reasons), and to any access requirement for proprietary/subscription-based software platforms. </w:t>
            </w:r>
          </w:p>
          <w:p w14:paraId="583234A0" w14:textId="77777777" w:rsidR="00921442" w:rsidRDefault="00921442">
            <w:pPr>
              <w:spacing w:line="240" w:lineRule="auto"/>
              <w:rPr>
                <w:color w:val="000000"/>
              </w:rPr>
            </w:pPr>
            <w:bookmarkStart w:id="0" w:name="_Hlk81897761"/>
          </w:p>
          <w:p w14:paraId="583234A1" w14:textId="77777777" w:rsidR="00921442" w:rsidRDefault="00BF0314">
            <w:pPr>
              <w:spacing w:line="240" w:lineRule="auto"/>
              <w:rPr>
                <w:color w:val="000000"/>
              </w:rPr>
            </w:pPr>
            <w:r>
              <w:rPr>
                <w:color w:val="000000"/>
              </w:rPr>
              <w:t>Any travel and subsistence expenses which are incurred due to a disability can be requested from, and covered by, the scheme coordination and development team.</w:t>
            </w:r>
          </w:p>
          <w:p w14:paraId="583234A2" w14:textId="77777777" w:rsidR="00921442" w:rsidRDefault="00921442">
            <w:pPr>
              <w:spacing w:line="240" w:lineRule="auto"/>
              <w:rPr>
                <w:color w:val="000000"/>
              </w:rPr>
            </w:pPr>
          </w:p>
          <w:p w14:paraId="583234A3" w14:textId="77777777" w:rsidR="00921442" w:rsidRPr="0049632C" w:rsidRDefault="00BF0314">
            <w:pPr>
              <w:spacing w:line="240" w:lineRule="auto"/>
            </w:pPr>
            <w:r w:rsidRPr="0049632C">
              <w:t>For in person events the scheme coordinator will ensure that:</w:t>
            </w:r>
          </w:p>
          <w:p w14:paraId="583234A4" w14:textId="77777777" w:rsidR="00921442" w:rsidRDefault="00921442">
            <w:pPr>
              <w:spacing w:line="240" w:lineRule="auto"/>
              <w:rPr>
                <w:color w:val="000000"/>
              </w:rPr>
            </w:pPr>
          </w:p>
          <w:p w14:paraId="69C832E6" w14:textId="77777777" w:rsidR="0049632C" w:rsidRPr="0049632C" w:rsidRDefault="00BF0314" w:rsidP="0049632C">
            <w:pPr>
              <w:numPr>
                <w:ilvl w:val="0"/>
                <w:numId w:val="12"/>
              </w:numPr>
              <w:pBdr>
                <w:left w:val="none" w:sz="0" w:space="7" w:color="auto"/>
              </w:pBdr>
              <w:spacing w:line="240" w:lineRule="auto"/>
              <w:ind w:hanging="430"/>
              <w:rPr>
                <w:rFonts w:ascii="Times New Roman" w:eastAsia="Times New Roman" w:hAnsi="Times New Roman" w:cs="Times New Roman"/>
              </w:rPr>
            </w:pPr>
            <w:r w:rsidRPr="0049632C">
              <w:t>As a general principle, venues are easily accessible to main rail/air/bus links and easy to navigate</w:t>
            </w:r>
          </w:p>
          <w:p w14:paraId="4331074F" w14:textId="77777777" w:rsidR="0049632C" w:rsidRPr="0049632C" w:rsidRDefault="00BF0314" w:rsidP="0049632C">
            <w:pPr>
              <w:numPr>
                <w:ilvl w:val="0"/>
                <w:numId w:val="12"/>
              </w:numPr>
              <w:pBdr>
                <w:left w:val="none" w:sz="0" w:space="7" w:color="auto"/>
              </w:pBdr>
              <w:spacing w:line="240" w:lineRule="auto"/>
              <w:ind w:hanging="430"/>
              <w:rPr>
                <w:rFonts w:ascii="Times New Roman" w:eastAsia="Times New Roman" w:hAnsi="Times New Roman" w:cs="Times New Roman"/>
              </w:rPr>
            </w:pPr>
            <w:r w:rsidRPr="0049632C">
              <w:t xml:space="preserve">Meeting rooms are comfortable, and sessions are timetabled to allow for adequate breaks. </w:t>
            </w:r>
          </w:p>
          <w:p w14:paraId="583234A7" w14:textId="5E782BB1" w:rsidR="00921442" w:rsidRPr="0049632C" w:rsidRDefault="00BF0314" w:rsidP="0049632C">
            <w:pPr>
              <w:numPr>
                <w:ilvl w:val="0"/>
                <w:numId w:val="12"/>
              </w:numPr>
              <w:pBdr>
                <w:left w:val="none" w:sz="0" w:space="7" w:color="auto"/>
              </w:pBdr>
              <w:spacing w:line="240" w:lineRule="auto"/>
              <w:ind w:hanging="430"/>
              <w:rPr>
                <w:rFonts w:ascii="Times New Roman" w:eastAsia="Times New Roman" w:hAnsi="Times New Roman" w:cs="Times New Roman"/>
              </w:rPr>
            </w:pPr>
            <w:r w:rsidRPr="0049632C">
              <w:t>Venues are physically accessible, e.g. with level access</w:t>
            </w:r>
          </w:p>
          <w:p w14:paraId="583234A8" w14:textId="77777777" w:rsidR="00921442" w:rsidRDefault="00921442">
            <w:pPr>
              <w:spacing w:line="240" w:lineRule="auto"/>
              <w:rPr>
                <w:color w:val="000000"/>
              </w:rPr>
            </w:pPr>
          </w:p>
          <w:p w14:paraId="583234A9" w14:textId="659DB7A1" w:rsidR="00921442" w:rsidRDefault="00BF0314">
            <w:pPr>
              <w:spacing w:line="240" w:lineRule="auto"/>
              <w:rPr>
                <w:color w:val="000000"/>
              </w:rPr>
            </w:pPr>
            <w:r>
              <w:rPr>
                <w:color w:val="000000"/>
              </w:rPr>
              <w:t>The scheme coordination and development team, AHRC and participating IROs will ensure that documentation produced during phase 1 (Townhall agendas; EoI forms; Assessment Criteria) is avail</w:t>
            </w:r>
            <w:r w:rsidRPr="0049632C">
              <w:t xml:space="preserve">able in multiple formats </w:t>
            </w:r>
            <w:r w:rsidR="0049632C" w:rsidRPr="0049632C">
              <w:t>e.g.</w:t>
            </w:r>
            <w:r w:rsidRPr="0049632C">
              <w:t xml:space="preserve"> Large font, captioning, audio description.</w:t>
            </w:r>
          </w:p>
          <w:p w14:paraId="583234AA" w14:textId="77777777" w:rsidR="00921442" w:rsidRDefault="00921442">
            <w:pPr>
              <w:spacing w:line="240" w:lineRule="auto"/>
              <w:rPr>
                <w:color w:val="000000"/>
              </w:rPr>
            </w:pPr>
          </w:p>
          <w:p w14:paraId="583234AB" w14:textId="77777777" w:rsidR="00921442" w:rsidRPr="0049632C" w:rsidRDefault="00BF0314">
            <w:pPr>
              <w:spacing w:line="240" w:lineRule="auto"/>
            </w:pPr>
            <w:r w:rsidRPr="0049632C">
              <w:t xml:space="preserve">Venues will cater for all dietary requirements if notified in advance. </w:t>
            </w:r>
          </w:p>
          <w:p w14:paraId="583234AC" w14:textId="77777777" w:rsidR="00921442" w:rsidRDefault="00921442">
            <w:pPr>
              <w:spacing w:line="240" w:lineRule="auto"/>
              <w:rPr>
                <w:color w:val="000000"/>
              </w:rPr>
            </w:pPr>
          </w:p>
          <w:p w14:paraId="583234AD" w14:textId="77777777" w:rsidR="00921442" w:rsidRDefault="00921442">
            <w:pPr>
              <w:spacing w:line="240" w:lineRule="auto"/>
              <w:rPr>
                <w:color w:val="000000"/>
              </w:rPr>
            </w:pPr>
          </w:p>
          <w:bookmarkEnd w:id="0"/>
          <w:p w14:paraId="583234AE" w14:textId="77777777" w:rsidR="00921442" w:rsidRDefault="00921442">
            <w:pPr>
              <w:spacing w:line="240" w:lineRule="auto"/>
              <w:rPr>
                <w:color w:val="000000"/>
              </w:rPr>
            </w:pPr>
          </w:p>
        </w:tc>
      </w:tr>
      <w:tr w:rsidR="00921442" w14:paraId="583234C2"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B0" w14:textId="77777777" w:rsidR="00921442" w:rsidRDefault="00BF0314">
            <w:pPr>
              <w:spacing w:line="240" w:lineRule="auto"/>
              <w:rPr>
                <w:color w:val="000000"/>
              </w:rPr>
            </w:pPr>
            <w:r>
              <w:rPr>
                <w:b/>
                <w:bCs/>
                <w:color w:val="000000"/>
              </w:rPr>
              <w:lastRenderedPageBreak/>
              <w:t>Gender reassignment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B1" w14:textId="77777777" w:rsidR="00921442" w:rsidRDefault="00BF0314">
            <w:pPr>
              <w:spacing w:line="240" w:lineRule="auto"/>
              <w:rPr>
                <w:color w:val="000000"/>
              </w:rPr>
            </w:pPr>
            <w:r>
              <w:rPr>
                <w:color w:val="000000"/>
              </w:rPr>
              <w:t>Possible negative impact</w:t>
            </w:r>
          </w:p>
          <w:p w14:paraId="583234B2" w14:textId="77777777" w:rsidR="00921442" w:rsidRDefault="00921442">
            <w:pPr>
              <w:spacing w:line="240"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B3" w14:textId="77777777" w:rsidR="00921442" w:rsidRDefault="00BF0314">
            <w:pPr>
              <w:spacing w:line="240" w:lineRule="auto"/>
              <w:rPr>
                <w:color w:val="000000"/>
              </w:rPr>
            </w:pPr>
            <w:r>
              <w:rPr>
                <w:color w:val="000000"/>
              </w:rPr>
              <w:t xml:space="preserve">Applicants who have had/are in the process of gender reassignment may feel disinclined to apply if our language isn’t sensitive. Therefore, gender neutral </w:t>
            </w:r>
            <w:r>
              <w:rPr>
                <w:color w:val="000000"/>
              </w:rPr>
              <w:lastRenderedPageBreak/>
              <w:t xml:space="preserve">language is important to support inclusivity, equality and representation. </w:t>
            </w:r>
          </w:p>
          <w:p w14:paraId="583234B4" w14:textId="77777777" w:rsidR="00921442" w:rsidRDefault="00921442">
            <w:pPr>
              <w:spacing w:line="240" w:lineRule="auto"/>
              <w:rPr>
                <w:color w:val="000000"/>
              </w:rPr>
            </w:pPr>
          </w:p>
          <w:p w14:paraId="583234B5" w14:textId="5C451746" w:rsidR="00921442" w:rsidRDefault="00BF0314">
            <w:pPr>
              <w:spacing w:line="240" w:lineRule="auto"/>
              <w:rPr>
                <w:color w:val="000000"/>
              </w:rPr>
            </w:pPr>
            <w:r>
              <w:rPr>
                <w:color w:val="000000"/>
              </w:rPr>
              <w:t xml:space="preserve">Applicants who have had/are in the process of gender reassignment might feel more </w:t>
            </w:r>
            <w:r w:rsidR="00076F4D">
              <w:rPr>
                <w:color w:val="000000"/>
              </w:rPr>
              <w:t>comfortable using</w:t>
            </w:r>
            <w:r>
              <w:rPr>
                <w:color w:val="000000"/>
              </w:rPr>
              <w:t xml:space="preserve"> gender-neutral facilities.</w:t>
            </w: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4B6" w14:textId="77777777" w:rsidR="00921442" w:rsidRDefault="00BF0314">
            <w:pPr>
              <w:spacing w:line="240" w:lineRule="auto"/>
              <w:rPr>
                <w:color w:val="000000"/>
              </w:rPr>
            </w:pPr>
            <w:r>
              <w:rPr>
                <w:color w:val="000000"/>
              </w:rPr>
              <w:lastRenderedPageBreak/>
              <w:t xml:space="preserve">The scheme coordination and development team, AHRC and participating IROs will use gender-neutral language, e.g. pronouns such as ‘they’ or ‘you’ instead of ‘he/she’, in the funding opportunity </w:t>
            </w:r>
            <w:r>
              <w:rPr>
                <w:color w:val="000000"/>
              </w:rPr>
              <w:lastRenderedPageBreak/>
              <w:t xml:space="preserve">documents, in the interim reporting and in the end-of-award reporting. </w:t>
            </w:r>
          </w:p>
          <w:p w14:paraId="583234B7" w14:textId="77777777" w:rsidR="00921442" w:rsidRDefault="00921442">
            <w:pPr>
              <w:spacing w:line="240" w:lineRule="auto"/>
              <w:rPr>
                <w:color w:val="000000"/>
              </w:rPr>
            </w:pPr>
          </w:p>
          <w:p w14:paraId="583234B8" w14:textId="77777777" w:rsidR="00921442" w:rsidRDefault="00921442">
            <w:pPr>
              <w:spacing w:line="240" w:lineRule="auto"/>
              <w:rPr>
                <w:color w:val="000000"/>
              </w:rPr>
            </w:pPr>
          </w:p>
          <w:p w14:paraId="583234B9" w14:textId="77777777" w:rsidR="00921442" w:rsidRDefault="00BF0314">
            <w:pPr>
              <w:spacing w:line="240" w:lineRule="auto"/>
              <w:rPr>
                <w:color w:val="000000"/>
              </w:rPr>
            </w:pPr>
            <w:r>
              <w:rPr>
                <w:color w:val="000000"/>
              </w:rPr>
              <w:t xml:space="preserve">By publishing this EIA, we will also encourage participating IROs to use gender neutral language throughout their interactions. </w:t>
            </w:r>
          </w:p>
          <w:p w14:paraId="583234BA" w14:textId="77777777" w:rsidR="00921442" w:rsidRDefault="00921442">
            <w:pPr>
              <w:spacing w:line="240" w:lineRule="auto"/>
              <w:rPr>
                <w:color w:val="000000"/>
              </w:rPr>
            </w:pPr>
          </w:p>
          <w:p w14:paraId="583234BB" w14:textId="30EFC14E" w:rsidR="00921442" w:rsidRPr="00970EEE" w:rsidRDefault="00BF0314">
            <w:pPr>
              <w:spacing w:line="240" w:lineRule="auto"/>
            </w:pPr>
            <w:r w:rsidRPr="00970EEE">
              <w:t xml:space="preserve">We will ensure gender neutral facilities are available at townhall locations. </w:t>
            </w:r>
          </w:p>
          <w:p w14:paraId="583234BC" w14:textId="77777777" w:rsidR="00921442" w:rsidRDefault="00921442">
            <w:pPr>
              <w:spacing w:line="240" w:lineRule="auto"/>
              <w:rPr>
                <w:color w:val="000000"/>
              </w:rPr>
            </w:pPr>
          </w:p>
          <w:p w14:paraId="583234BD" w14:textId="77777777" w:rsidR="00921442" w:rsidRDefault="00921442">
            <w:pPr>
              <w:spacing w:line="240" w:lineRule="auto"/>
              <w:rPr>
                <w:color w:val="000000"/>
              </w:rPr>
            </w:pPr>
          </w:p>
          <w:p w14:paraId="583234BE" w14:textId="78D79E2E" w:rsidR="00921442" w:rsidRDefault="00BF0314">
            <w:pPr>
              <w:spacing w:line="240" w:lineRule="auto"/>
              <w:rPr>
                <w:color w:val="000000"/>
              </w:rPr>
            </w:pPr>
            <w:r>
              <w:rPr>
                <w:color w:val="000000"/>
              </w:rPr>
              <w:t xml:space="preserve">We encourage participating IROs to meet best practice in relation to the employment of transgender staff such as that laid out in the Government Equalities Office guidance on </w:t>
            </w:r>
            <w:hyperlink r:id="rId9" w:history="1">
              <w:r>
                <w:rPr>
                  <w:color w:val="0000FF"/>
                  <w:u w:val="single" w:color="0000FF"/>
                </w:rPr>
                <w:t>’The recruitment and retention of transgender staff</w:t>
              </w:r>
            </w:hyperlink>
            <w:r>
              <w:rPr>
                <w:color w:val="000000"/>
              </w:rPr>
              <w:t>’.</w:t>
            </w:r>
          </w:p>
          <w:p w14:paraId="583234BF" w14:textId="77777777" w:rsidR="00921442" w:rsidRDefault="00921442">
            <w:pPr>
              <w:spacing w:line="240" w:lineRule="auto"/>
              <w:rPr>
                <w:color w:val="000000"/>
              </w:rPr>
            </w:pPr>
          </w:p>
          <w:p w14:paraId="583234C0" w14:textId="77777777"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4C1" w14:textId="77777777" w:rsidR="00921442" w:rsidRDefault="00921442">
            <w:pPr>
              <w:spacing w:line="240" w:lineRule="auto"/>
              <w:rPr>
                <w:color w:val="000000"/>
              </w:rPr>
            </w:pPr>
          </w:p>
        </w:tc>
      </w:tr>
      <w:tr w:rsidR="00921442" w14:paraId="583234CB"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C3" w14:textId="77777777" w:rsidR="00921442" w:rsidRDefault="00BF0314">
            <w:pPr>
              <w:spacing w:line="240" w:lineRule="auto"/>
              <w:rPr>
                <w:color w:val="000000"/>
              </w:rPr>
            </w:pPr>
            <w:r>
              <w:rPr>
                <w:b/>
                <w:bCs/>
                <w:color w:val="000000"/>
              </w:rPr>
              <w:lastRenderedPageBreak/>
              <w:t>Marriage or civil partnership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C4" w14:textId="77777777" w:rsidR="00921442" w:rsidRDefault="00BF0314">
            <w:pPr>
              <w:spacing w:line="240" w:lineRule="auto"/>
              <w:rPr>
                <w:color w:val="000000"/>
              </w:rPr>
            </w:pPr>
            <w:r>
              <w:rPr>
                <w:color w:val="000000"/>
              </w:rPr>
              <w:t>No impact</w:t>
            </w:r>
          </w:p>
          <w:p w14:paraId="583234C5" w14:textId="77777777" w:rsidR="00921442" w:rsidRDefault="00921442">
            <w:pPr>
              <w:spacing w:line="240"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C6" w14:textId="77777777" w:rsidR="00921442" w:rsidRDefault="00BF0314">
            <w:pPr>
              <w:spacing w:line="240" w:lineRule="auto"/>
              <w:rPr>
                <w:color w:val="000000"/>
              </w:rPr>
            </w:pPr>
            <w:r>
              <w:rPr>
                <w:color w:val="000000"/>
              </w:rPr>
              <w:t xml:space="preserve">The funding opportunity is open to all eligible applicants and there are no barriers to those who are married or in a civil partnership apart from, potentially, the need to relocate for the duration of their fellowship and temporarily live away from their home and partner. </w:t>
            </w: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4C7" w14:textId="77777777" w:rsidR="00921442" w:rsidRDefault="00BF0314">
            <w:pPr>
              <w:spacing w:line="240" w:lineRule="auto"/>
              <w:rPr>
                <w:color w:val="000000"/>
              </w:rPr>
            </w:pPr>
            <w:r>
              <w:rPr>
                <w:color w:val="000000"/>
              </w:rPr>
              <w:t xml:space="preserve">Applicants and their host organisations should agree if there is a need to relocate in a way that’s sensitive to their family situation and civil partnership/marriage. </w:t>
            </w:r>
          </w:p>
          <w:p w14:paraId="583234C8" w14:textId="77777777" w:rsidR="00921442" w:rsidRDefault="00921442">
            <w:pPr>
              <w:spacing w:line="240" w:lineRule="auto"/>
              <w:rPr>
                <w:color w:val="000000"/>
              </w:rPr>
            </w:pPr>
          </w:p>
          <w:p w14:paraId="583234C9" w14:textId="77777777"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4CA" w14:textId="77777777" w:rsidR="00921442" w:rsidRDefault="00921442">
            <w:pPr>
              <w:spacing w:line="240" w:lineRule="auto"/>
              <w:rPr>
                <w:color w:val="000000"/>
              </w:rPr>
            </w:pPr>
          </w:p>
        </w:tc>
      </w:tr>
      <w:tr w:rsidR="00921442" w14:paraId="58323500"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4CC" w14:textId="77777777" w:rsidR="00921442" w:rsidRDefault="00BF0314">
            <w:pPr>
              <w:spacing w:line="240" w:lineRule="auto"/>
              <w:rPr>
                <w:color w:val="000000"/>
              </w:rPr>
            </w:pPr>
            <w:r>
              <w:rPr>
                <w:b/>
                <w:bCs/>
                <w:color w:val="000000"/>
              </w:rPr>
              <w:t>Pregnancy and parental/caring responsibilities.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CD" w14:textId="77777777" w:rsidR="00921442" w:rsidRDefault="00BF0314">
            <w:pPr>
              <w:spacing w:line="240" w:lineRule="auto"/>
              <w:rPr>
                <w:color w:val="000000"/>
              </w:rPr>
            </w:pPr>
            <w:r>
              <w:rPr>
                <w:color w:val="000000"/>
              </w:rPr>
              <w:t>Possible negative</w:t>
            </w:r>
          </w:p>
          <w:p w14:paraId="583234CE" w14:textId="77777777" w:rsidR="00921442" w:rsidRDefault="00BF0314">
            <w:pPr>
              <w:spacing w:line="240" w:lineRule="auto"/>
              <w:rPr>
                <w:color w:val="000000"/>
              </w:rPr>
            </w:pPr>
            <w:r>
              <w:rPr>
                <w:color w:val="000000"/>
              </w:rPr>
              <w:t xml:space="preserve">impact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4CF" w14:textId="77777777" w:rsidR="00921442" w:rsidRDefault="00BF0314">
            <w:pPr>
              <w:spacing w:line="240" w:lineRule="auto"/>
              <w:rPr>
                <w:color w:val="000000"/>
              </w:rPr>
            </w:pPr>
            <w:r>
              <w:rPr>
                <w:color w:val="000000"/>
              </w:rPr>
              <w:t xml:space="preserve">Pregnant persons who are on parental leave, persons on parental leave, and persons who have a child/children or other caring responsibilities may </w:t>
            </w:r>
            <w:r>
              <w:rPr>
                <w:color w:val="000000"/>
              </w:rPr>
              <w:lastRenderedPageBreak/>
              <w:t xml:space="preserve">miss the townhall meetings, online matchmaking events and application deadlines. </w:t>
            </w:r>
          </w:p>
          <w:p w14:paraId="583234D0" w14:textId="77777777" w:rsidR="00921442" w:rsidRDefault="00921442">
            <w:pPr>
              <w:spacing w:line="240" w:lineRule="auto"/>
              <w:rPr>
                <w:color w:val="000000"/>
              </w:rPr>
            </w:pPr>
          </w:p>
          <w:p w14:paraId="583234D1" w14:textId="77777777" w:rsidR="00921442" w:rsidRDefault="00BF0314">
            <w:pPr>
              <w:spacing w:line="240" w:lineRule="auto"/>
              <w:rPr>
                <w:color w:val="000000"/>
              </w:rPr>
            </w:pPr>
            <w:r>
              <w:rPr>
                <w:color w:val="000000"/>
              </w:rPr>
              <w:t xml:space="preserve">Pregnant persons and persons with caring responsibilities may require additional adjustments to enable participation in the fellowship scheme. </w:t>
            </w:r>
          </w:p>
          <w:p w14:paraId="583234D2" w14:textId="77777777" w:rsidR="00921442" w:rsidRDefault="00921442">
            <w:pPr>
              <w:spacing w:line="240" w:lineRule="auto"/>
              <w:rPr>
                <w:color w:val="000000"/>
              </w:rPr>
            </w:pPr>
          </w:p>
          <w:p w14:paraId="583234D3" w14:textId="77777777" w:rsidR="00921442" w:rsidRDefault="00921442">
            <w:pPr>
              <w:spacing w:line="240" w:lineRule="auto"/>
              <w:rPr>
                <w:color w:val="000000"/>
              </w:rPr>
            </w:pPr>
          </w:p>
          <w:p w14:paraId="583234D4" w14:textId="77777777" w:rsidR="00921442" w:rsidRDefault="00921442">
            <w:pPr>
              <w:spacing w:line="240" w:lineRule="auto"/>
              <w:rPr>
                <w:color w:val="000000"/>
              </w:rPr>
            </w:pPr>
          </w:p>
          <w:p w14:paraId="583234D5" w14:textId="77777777" w:rsidR="00921442" w:rsidRDefault="00921442">
            <w:pPr>
              <w:spacing w:line="240" w:lineRule="auto"/>
              <w:rPr>
                <w:color w:val="000000"/>
              </w:rPr>
            </w:pPr>
          </w:p>
          <w:p w14:paraId="583234D6" w14:textId="77777777" w:rsidR="00921442" w:rsidRDefault="00921442">
            <w:pPr>
              <w:spacing w:line="240" w:lineRule="auto"/>
              <w:rPr>
                <w:color w:val="000000"/>
              </w:rPr>
            </w:pPr>
          </w:p>
          <w:p w14:paraId="583234D7" w14:textId="77777777" w:rsidR="00921442" w:rsidRDefault="00921442">
            <w:pPr>
              <w:spacing w:line="240" w:lineRule="auto"/>
              <w:rPr>
                <w:color w:val="000000"/>
              </w:rPr>
            </w:pPr>
          </w:p>
          <w:p w14:paraId="583234D8" w14:textId="77777777" w:rsidR="00921442" w:rsidRDefault="00921442">
            <w:pPr>
              <w:spacing w:line="240" w:lineRule="auto"/>
              <w:rPr>
                <w:color w:val="000000"/>
              </w:rPr>
            </w:pPr>
          </w:p>
          <w:p w14:paraId="583234D9" w14:textId="77777777" w:rsidR="00921442" w:rsidRDefault="00921442">
            <w:pPr>
              <w:spacing w:line="240" w:lineRule="auto"/>
              <w:rPr>
                <w:color w:val="000000"/>
              </w:rPr>
            </w:pPr>
          </w:p>
          <w:p w14:paraId="583234DA" w14:textId="77777777" w:rsidR="00921442" w:rsidRDefault="00921442">
            <w:pPr>
              <w:spacing w:line="240" w:lineRule="auto"/>
              <w:rPr>
                <w:color w:val="000000"/>
              </w:rPr>
            </w:pPr>
          </w:p>
          <w:p w14:paraId="583234DB" w14:textId="77777777" w:rsidR="00921442" w:rsidRDefault="00921442">
            <w:pPr>
              <w:spacing w:line="240" w:lineRule="auto"/>
              <w:rPr>
                <w:color w:val="000000"/>
              </w:rPr>
            </w:pPr>
          </w:p>
          <w:p w14:paraId="583234DC" w14:textId="77777777" w:rsidR="00921442" w:rsidRDefault="00921442">
            <w:pPr>
              <w:spacing w:line="240" w:lineRule="auto"/>
              <w:rPr>
                <w:color w:val="000000"/>
              </w:rPr>
            </w:pPr>
          </w:p>
          <w:p w14:paraId="583234DD" w14:textId="77777777" w:rsidR="00921442" w:rsidRDefault="00921442">
            <w:pPr>
              <w:spacing w:line="240" w:lineRule="auto"/>
              <w:rPr>
                <w:color w:val="000000"/>
              </w:rPr>
            </w:pPr>
          </w:p>
          <w:p w14:paraId="583234DE" w14:textId="77777777" w:rsidR="00921442" w:rsidRDefault="00921442">
            <w:pPr>
              <w:spacing w:line="240" w:lineRule="auto"/>
              <w:rPr>
                <w:color w:val="000000"/>
              </w:rPr>
            </w:pPr>
          </w:p>
          <w:p w14:paraId="583234DF" w14:textId="77777777" w:rsidR="00921442" w:rsidRDefault="00921442">
            <w:pPr>
              <w:spacing w:line="240" w:lineRule="auto"/>
              <w:rPr>
                <w:color w:val="000000"/>
              </w:rPr>
            </w:pPr>
          </w:p>
          <w:p w14:paraId="583234E0" w14:textId="77777777" w:rsidR="00921442" w:rsidRDefault="00921442">
            <w:pPr>
              <w:spacing w:line="240" w:lineRule="auto"/>
              <w:rPr>
                <w:color w:val="000000"/>
              </w:rPr>
            </w:pPr>
          </w:p>
          <w:p w14:paraId="583234E1" w14:textId="77777777" w:rsidR="00921442" w:rsidRDefault="00BF0314">
            <w:pPr>
              <w:spacing w:line="240" w:lineRule="auto"/>
              <w:rPr>
                <w:color w:val="000000"/>
              </w:rPr>
            </w:pPr>
            <w:r>
              <w:rPr>
                <w:color w:val="000000"/>
              </w:rPr>
              <w:t xml:space="preserve">Career breaks in applicant track records due to parental leave or caring responsibilities may be seen as negative by assessment panels. </w:t>
            </w:r>
          </w:p>
          <w:p w14:paraId="583234E2" w14:textId="77777777" w:rsidR="00921442" w:rsidRDefault="00921442">
            <w:pPr>
              <w:spacing w:line="240" w:lineRule="auto"/>
              <w:rPr>
                <w:color w:val="000000"/>
              </w:rPr>
            </w:pPr>
          </w:p>
          <w:p w14:paraId="583234E3" w14:textId="77777777" w:rsidR="00921442" w:rsidRDefault="00921442">
            <w:pPr>
              <w:spacing w:line="240" w:lineRule="auto"/>
              <w:rPr>
                <w:color w:val="000000"/>
              </w:rPr>
            </w:pPr>
          </w:p>
          <w:p w14:paraId="583234E4" w14:textId="77777777" w:rsidR="00921442" w:rsidRDefault="00921442">
            <w:pPr>
              <w:spacing w:line="240" w:lineRule="auto"/>
              <w:rPr>
                <w:color w:val="000000"/>
              </w:rPr>
            </w:pPr>
          </w:p>
          <w:p w14:paraId="583234E5" w14:textId="77777777" w:rsidR="00921442" w:rsidRDefault="00BF0314">
            <w:pPr>
              <w:spacing w:line="240" w:lineRule="auto"/>
              <w:rPr>
                <w:color w:val="000000"/>
              </w:rPr>
            </w:pPr>
            <w:r>
              <w:rPr>
                <w:color w:val="000000"/>
              </w:rPr>
              <w:t xml:space="preserve">On the other hand, the flexible nature of the scheme makes it inclusive and might appeal particularly to persons with caring responsibilities or pregnant. </w:t>
            </w:r>
          </w:p>
          <w:p w14:paraId="583234E6" w14:textId="77777777" w:rsidR="00921442" w:rsidRDefault="00921442">
            <w:pPr>
              <w:spacing w:line="240" w:lineRule="auto"/>
              <w:rPr>
                <w:color w:val="000000"/>
              </w:rPr>
            </w:pPr>
          </w:p>
          <w:p w14:paraId="583234E7" w14:textId="77777777" w:rsidR="00921442" w:rsidRDefault="00921442">
            <w:pPr>
              <w:spacing w:line="240" w:lineRule="auto"/>
              <w:rPr>
                <w:color w:val="000000"/>
              </w:rPr>
            </w:pPr>
          </w:p>
          <w:p w14:paraId="583234E8" w14:textId="77777777" w:rsidR="00921442" w:rsidRDefault="00921442">
            <w:pPr>
              <w:spacing w:line="240" w:lineRule="auto"/>
              <w:rPr>
                <w:color w:val="000000"/>
              </w:rPr>
            </w:pPr>
          </w:p>
          <w:p w14:paraId="583234EA" w14:textId="77777777" w:rsidR="00921442" w:rsidRPr="009E3121" w:rsidRDefault="00BF0314">
            <w:pPr>
              <w:spacing w:line="240" w:lineRule="auto"/>
            </w:pPr>
            <w:r w:rsidRPr="009E3121">
              <w:t>Dietary requirements may not be suitable for pregnant persons.</w:t>
            </w:r>
          </w:p>
          <w:p w14:paraId="583234EB" w14:textId="77777777" w:rsidR="00921442" w:rsidRDefault="00921442">
            <w:pPr>
              <w:spacing w:line="240" w:lineRule="auto"/>
              <w:rPr>
                <w:color w:val="000000"/>
              </w:rPr>
            </w:pPr>
          </w:p>
          <w:p w14:paraId="583234EC" w14:textId="77777777" w:rsidR="00921442" w:rsidRDefault="00921442">
            <w:pPr>
              <w:spacing w:line="240" w:lineRule="auto"/>
              <w:rPr>
                <w:color w:val="000000"/>
              </w:rPr>
            </w:pP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4ED" w14:textId="77777777" w:rsidR="00921442" w:rsidRDefault="00BF0314">
            <w:pPr>
              <w:spacing w:line="240" w:lineRule="auto"/>
              <w:rPr>
                <w:color w:val="000000"/>
              </w:rPr>
            </w:pPr>
            <w:r>
              <w:rPr>
                <w:color w:val="000000"/>
              </w:rPr>
              <w:lastRenderedPageBreak/>
              <w:t xml:space="preserve">The scheme coordination and development team will provide clear details for participants to provide details of additional requirements for participation. </w:t>
            </w:r>
          </w:p>
          <w:p w14:paraId="583234EE" w14:textId="77777777" w:rsidR="00921442" w:rsidRDefault="00921442">
            <w:pPr>
              <w:spacing w:line="240" w:lineRule="auto"/>
              <w:rPr>
                <w:color w:val="000000"/>
              </w:rPr>
            </w:pPr>
          </w:p>
          <w:p w14:paraId="583234EF" w14:textId="77777777" w:rsidR="00921442" w:rsidRDefault="00BF0314">
            <w:pPr>
              <w:spacing w:line="240" w:lineRule="auto"/>
              <w:rPr>
                <w:color w:val="000000"/>
              </w:rPr>
            </w:pPr>
            <w:r>
              <w:rPr>
                <w:color w:val="000000"/>
              </w:rPr>
              <w:lastRenderedPageBreak/>
              <w:t>School holidays are taken into account where possible when timetabling the activities for this funding opportunity.</w:t>
            </w:r>
          </w:p>
          <w:p w14:paraId="583234F0" w14:textId="77777777" w:rsidR="00921442" w:rsidRDefault="00921442">
            <w:pPr>
              <w:spacing w:line="240" w:lineRule="auto"/>
              <w:rPr>
                <w:color w:val="000000"/>
              </w:rPr>
            </w:pPr>
          </w:p>
          <w:p w14:paraId="583234F1" w14:textId="5824657A" w:rsidR="00921442" w:rsidRDefault="00BF0314">
            <w:pPr>
              <w:spacing w:line="240" w:lineRule="auto"/>
              <w:rPr>
                <w:color w:val="000000"/>
              </w:rPr>
            </w:pPr>
            <w:r>
              <w:rPr>
                <w:color w:val="000000"/>
              </w:rPr>
              <w:t xml:space="preserve">Expectations and dates for all aspects of the process are set out as far in advance as possible, allowing for preparation to cover </w:t>
            </w:r>
            <w:r w:rsidR="00970EEE">
              <w:rPr>
                <w:color w:val="000000"/>
              </w:rPr>
              <w:t>any parental</w:t>
            </w:r>
            <w:r>
              <w:rPr>
                <w:color w:val="000000"/>
              </w:rPr>
              <w:t>/caring responsibilities. A mix of online and in person events is planned to enable flexibility.</w:t>
            </w:r>
          </w:p>
          <w:p w14:paraId="583234F2" w14:textId="77777777" w:rsidR="00921442" w:rsidRDefault="00921442">
            <w:pPr>
              <w:spacing w:line="240" w:lineRule="auto"/>
              <w:rPr>
                <w:color w:val="000000"/>
              </w:rPr>
            </w:pPr>
          </w:p>
          <w:p w14:paraId="583234F3" w14:textId="77777777" w:rsidR="00921442" w:rsidRDefault="00BF0314">
            <w:pPr>
              <w:spacing w:line="240" w:lineRule="auto"/>
              <w:rPr>
                <w:color w:val="000000"/>
              </w:rPr>
            </w:pPr>
            <w:r>
              <w:rPr>
                <w:color w:val="000000"/>
              </w:rPr>
              <w:t>For in person events the scheme coordinator will ensure that:</w:t>
            </w:r>
          </w:p>
          <w:p w14:paraId="583234F4" w14:textId="77777777" w:rsidR="00921442" w:rsidRDefault="00921442">
            <w:pPr>
              <w:spacing w:line="240" w:lineRule="auto"/>
              <w:rPr>
                <w:color w:val="000000"/>
              </w:rPr>
            </w:pPr>
          </w:p>
          <w:p w14:paraId="583234F5" w14:textId="77777777" w:rsidR="00921442" w:rsidRDefault="00BF0314">
            <w:pPr>
              <w:numPr>
                <w:ilvl w:val="0"/>
                <w:numId w:val="13"/>
              </w:numPr>
              <w:pBdr>
                <w:left w:val="none" w:sz="0" w:space="7" w:color="auto"/>
              </w:pBdr>
              <w:spacing w:line="240" w:lineRule="auto"/>
              <w:ind w:hanging="430"/>
              <w:rPr>
                <w:rFonts w:ascii="Times New Roman" w:eastAsia="Times New Roman" w:hAnsi="Times New Roman" w:cs="Times New Roman"/>
                <w:color w:val="000000"/>
              </w:rPr>
            </w:pPr>
            <w:r>
              <w:rPr>
                <w:color w:val="000000"/>
              </w:rPr>
              <w:t>As a general principle, venues are easily accessible to main rail/air/bus links and easy to navigate.</w:t>
            </w:r>
          </w:p>
          <w:p w14:paraId="583234F6" w14:textId="77777777" w:rsidR="00921442" w:rsidRDefault="00BF0314">
            <w:pPr>
              <w:numPr>
                <w:ilvl w:val="0"/>
                <w:numId w:val="13"/>
              </w:numPr>
              <w:pBdr>
                <w:left w:val="none" w:sz="0" w:space="7" w:color="auto"/>
              </w:pBdr>
              <w:spacing w:line="240" w:lineRule="auto"/>
              <w:ind w:hanging="430"/>
              <w:rPr>
                <w:rFonts w:ascii="Times New Roman" w:eastAsia="Times New Roman" w:hAnsi="Times New Roman" w:cs="Times New Roman"/>
                <w:color w:val="000000"/>
              </w:rPr>
            </w:pPr>
            <w:r>
              <w:rPr>
                <w:color w:val="000000"/>
              </w:rPr>
              <w:t xml:space="preserve">Meeting rooms are comfortable, and sessions are timetabled to allow for adequate breaks. </w:t>
            </w:r>
          </w:p>
          <w:p w14:paraId="583234F7" w14:textId="77777777" w:rsidR="00921442" w:rsidRDefault="00921442">
            <w:pPr>
              <w:spacing w:line="240" w:lineRule="auto"/>
              <w:rPr>
                <w:color w:val="000000"/>
              </w:rPr>
            </w:pPr>
          </w:p>
          <w:p w14:paraId="583234F8" w14:textId="77777777" w:rsidR="00921442" w:rsidRDefault="00BF0314">
            <w:pPr>
              <w:spacing w:line="240" w:lineRule="auto"/>
              <w:rPr>
                <w:color w:val="000000"/>
              </w:rPr>
            </w:pPr>
            <w:r>
              <w:rPr>
                <w:color w:val="000000"/>
              </w:rPr>
              <w:t xml:space="preserve">Guidance is provided to panels to ensure appropriate assessment of applicant track record without bias against career breaks due to parental leave/caring responsibilities. </w:t>
            </w:r>
            <w:r w:rsidRPr="00D13CFE">
              <w:t>Part-time fellowships will be offered.</w:t>
            </w:r>
          </w:p>
          <w:p w14:paraId="583234F9" w14:textId="77777777" w:rsidR="00921442" w:rsidRDefault="00921442">
            <w:pPr>
              <w:spacing w:line="240" w:lineRule="auto"/>
              <w:rPr>
                <w:color w:val="000000"/>
              </w:rPr>
            </w:pPr>
          </w:p>
          <w:p w14:paraId="583234FA" w14:textId="77777777" w:rsidR="00921442" w:rsidRDefault="00921442">
            <w:pPr>
              <w:spacing w:line="240" w:lineRule="auto"/>
              <w:rPr>
                <w:color w:val="000000"/>
              </w:rPr>
            </w:pPr>
          </w:p>
          <w:p w14:paraId="583234FB" w14:textId="77777777" w:rsidR="00921442" w:rsidRDefault="00921442">
            <w:pPr>
              <w:spacing w:line="240" w:lineRule="auto"/>
              <w:rPr>
                <w:color w:val="000000"/>
              </w:rPr>
            </w:pPr>
          </w:p>
          <w:p w14:paraId="583234FC" w14:textId="123E14BA"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4FD" w14:textId="77777777" w:rsidR="00921442" w:rsidRDefault="00BF0314">
            <w:pPr>
              <w:spacing w:line="240" w:lineRule="auto"/>
              <w:rPr>
                <w:color w:val="000000"/>
              </w:rPr>
            </w:pPr>
            <w:r>
              <w:rPr>
                <w:color w:val="000000"/>
              </w:rPr>
              <w:t xml:space="preserve"> </w:t>
            </w:r>
          </w:p>
          <w:p w14:paraId="583234FE" w14:textId="77777777" w:rsidR="00921442" w:rsidRPr="009E3121" w:rsidRDefault="00BF0314">
            <w:pPr>
              <w:spacing w:line="240" w:lineRule="auto"/>
            </w:pPr>
            <w:r w:rsidRPr="009E3121">
              <w:t xml:space="preserve">Venues will cater for all dietary requirements if notified in advance. </w:t>
            </w:r>
          </w:p>
          <w:p w14:paraId="583234FF" w14:textId="77777777" w:rsidR="00921442" w:rsidRDefault="00921442">
            <w:pPr>
              <w:spacing w:line="240" w:lineRule="auto"/>
              <w:rPr>
                <w:color w:val="000000"/>
              </w:rPr>
            </w:pPr>
          </w:p>
        </w:tc>
      </w:tr>
      <w:tr w:rsidR="00921442" w14:paraId="58323512"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01" w14:textId="77777777" w:rsidR="00921442" w:rsidRDefault="00BF0314">
            <w:pPr>
              <w:spacing w:line="240" w:lineRule="auto"/>
              <w:rPr>
                <w:color w:val="000000"/>
              </w:rPr>
            </w:pPr>
            <w:r>
              <w:rPr>
                <w:b/>
                <w:bCs/>
                <w:color w:val="000000"/>
              </w:rPr>
              <w:lastRenderedPageBreak/>
              <w:t>Race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02" w14:textId="77777777" w:rsidR="00921442" w:rsidRDefault="00BF0314">
            <w:pPr>
              <w:spacing w:line="240" w:lineRule="auto"/>
              <w:rPr>
                <w:color w:val="000000"/>
              </w:rPr>
            </w:pPr>
            <w:r>
              <w:rPr>
                <w:color w:val="000000"/>
              </w:rPr>
              <w:t>No impact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03" w14:textId="32179D47" w:rsidR="00921442" w:rsidRDefault="00BF0314">
            <w:pPr>
              <w:spacing w:line="240" w:lineRule="auto"/>
              <w:rPr>
                <w:color w:val="000000"/>
              </w:rPr>
            </w:pPr>
            <w:r>
              <w:rPr>
                <w:color w:val="000000"/>
              </w:rPr>
              <w:t xml:space="preserve">This funding opportunity is open to candidates of all ethnic backgrounds.  The scheme coordination and </w:t>
            </w:r>
            <w:r>
              <w:rPr>
                <w:color w:val="000000"/>
              </w:rPr>
              <w:lastRenderedPageBreak/>
              <w:t xml:space="preserve">development team, AHRC and participating IROs designed the funding opportunity to be flexible to make it inclusive and accessible. We are aware of under-representation of some </w:t>
            </w:r>
            <w:r w:rsidR="00970EEE">
              <w:rPr>
                <w:color w:val="000000"/>
              </w:rPr>
              <w:t>minority ethnic</w:t>
            </w:r>
            <w:r>
              <w:rPr>
                <w:color w:val="000000"/>
              </w:rPr>
              <w:t xml:space="preserve"> groups in the fields covered by this pilot funding opportunity and a risk that the awards might reflect this under</w:t>
            </w:r>
            <w:r>
              <w:rPr>
                <w:color w:val="2E97D3"/>
              </w:rPr>
              <w:t>-</w:t>
            </w:r>
            <w:r>
              <w:rPr>
                <w:color w:val="000000"/>
              </w:rPr>
              <w:t xml:space="preserve">representation. </w:t>
            </w:r>
          </w:p>
          <w:p w14:paraId="58323504" w14:textId="77777777" w:rsidR="00921442" w:rsidRDefault="00921442">
            <w:pPr>
              <w:spacing w:line="240" w:lineRule="auto"/>
              <w:rPr>
                <w:color w:val="000000"/>
              </w:rPr>
            </w:pP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05" w14:textId="23DCBAB2" w:rsidR="00921442" w:rsidRDefault="00BF0314">
            <w:pPr>
              <w:spacing w:line="240" w:lineRule="auto"/>
              <w:rPr>
                <w:color w:val="000000"/>
              </w:rPr>
            </w:pPr>
            <w:r>
              <w:rPr>
                <w:color w:val="000000"/>
              </w:rPr>
              <w:lastRenderedPageBreak/>
              <w:t>There is a risk of low representation of minority</w:t>
            </w:r>
            <w:r w:rsidR="009E3121">
              <w:rPr>
                <w:color w:val="000000"/>
              </w:rPr>
              <w:t xml:space="preserve"> ethnic</w:t>
            </w:r>
            <w:r>
              <w:rPr>
                <w:color w:val="000000"/>
              </w:rPr>
              <w:t xml:space="preserve"> groups among the applicants and successful candidates. This might occur due to the channels </w:t>
            </w:r>
            <w:r>
              <w:rPr>
                <w:color w:val="000000"/>
              </w:rPr>
              <w:lastRenderedPageBreak/>
              <w:t xml:space="preserve">used to advertise the funding </w:t>
            </w:r>
            <w:r w:rsidR="00076F4D">
              <w:rPr>
                <w:color w:val="000000"/>
              </w:rPr>
              <w:t>opportunity and</w:t>
            </w:r>
            <w:r>
              <w:rPr>
                <w:color w:val="000000"/>
              </w:rPr>
              <w:t xml:space="preserve"> is impossible to predict as this is a pilot. To avoid underrepresentation, we will advertise through UKRI channels which are designed with accessibility in mind. We will also share the opportunity with relevant organisations and stakeholders.  </w:t>
            </w:r>
          </w:p>
          <w:p w14:paraId="58323506" w14:textId="77777777" w:rsidR="00921442" w:rsidRDefault="00921442">
            <w:pPr>
              <w:spacing w:line="240" w:lineRule="auto"/>
              <w:rPr>
                <w:color w:val="000000"/>
              </w:rPr>
            </w:pPr>
          </w:p>
          <w:p w14:paraId="58323507" w14:textId="2BD47FF8" w:rsidR="00921442" w:rsidRDefault="00BF0314">
            <w:pPr>
              <w:spacing w:line="240" w:lineRule="auto"/>
              <w:rPr>
                <w:color w:val="000000"/>
              </w:rPr>
            </w:pPr>
            <w:r>
              <w:rPr>
                <w:color w:val="000000"/>
              </w:rPr>
              <w:t>At the EoI stage, host IROs will be able to select a second project to take forward to a full application if</w:t>
            </w:r>
            <w:r w:rsidR="00D13CFE">
              <w:rPr>
                <w:color w:val="000000"/>
              </w:rPr>
              <w:t>:</w:t>
            </w:r>
            <w:r>
              <w:rPr>
                <w:color w:val="000000"/>
              </w:rPr>
              <w:t xml:space="preserve"> </w:t>
            </w:r>
          </w:p>
          <w:p w14:paraId="58323508" w14:textId="77777777" w:rsidR="00921442" w:rsidRDefault="00921442">
            <w:pPr>
              <w:spacing w:line="240" w:lineRule="auto"/>
              <w:rPr>
                <w:color w:val="000000"/>
              </w:rPr>
            </w:pPr>
          </w:p>
          <w:p w14:paraId="58323509" w14:textId="1CF1E309" w:rsidR="00921442" w:rsidRPr="009E3121" w:rsidRDefault="00BF0314">
            <w:pPr>
              <w:spacing w:line="240" w:lineRule="auto"/>
            </w:pPr>
            <w:r w:rsidRPr="009E3121">
              <w:t>“the additional application is being submitted as a part of efforts to support Equality, Diversity and Inclusion (EDI), for example applications involving high quality candidates with characteristics that are under-represented in the sector”.</w:t>
            </w:r>
          </w:p>
          <w:p w14:paraId="5832350A" w14:textId="77777777" w:rsidR="00921442" w:rsidRDefault="00921442">
            <w:pPr>
              <w:spacing w:line="240" w:lineRule="auto"/>
              <w:rPr>
                <w:color w:val="000000"/>
              </w:rPr>
            </w:pPr>
          </w:p>
          <w:p w14:paraId="5832350B" w14:textId="069FA372" w:rsidR="00921442" w:rsidRPr="009E3121" w:rsidRDefault="00BF0314">
            <w:pPr>
              <w:spacing w:line="240" w:lineRule="auto"/>
            </w:pPr>
            <w:r w:rsidRPr="009E3121">
              <w:t>The additional application will be required to meet the quality criteria outlined in the EoI selection criteria.</w:t>
            </w:r>
          </w:p>
          <w:p w14:paraId="5832350C" w14:textId="77777777" w:rsidR="00921442" w:rsidRDefault="00921442">
            <w:pPr>
              <w:spacing w:line="240" w:lineRule="auto"/>
              <w:rPr>
                <w:color w:val="000000"/>
              </w:rPr>
            </w:pPr>
          </w:p>
          <w:p w14:paraId="5832350D" w14:textId="77777777" w:rsidR="00921442" w:rsidRDefault="00BF0314">
            <w:pPr>
              <w:spacing w:line="240" w:lineRule="auto"/>
              <w:rPr>
                <w:color w:val="000000"/>
              </w:rPr>
            </w:pPr>
            <w:r>
              <w:rPr>
                <w:color w:val="000000"/>
              </w:rPr>
              <w:t>Applicants and their host organisations should discuss any personal needs based on this protected characteristic in confidence. Following such conversations, the scheme coordination and development team will support host organisations to provide reasonable adjustments and a welcoming work culture. This should be compliant with the EDI policies at the host organisation and inspired by UKRI’s policies and approach to equality, diversity and inclusion.</w:t>
            </w:r>
          </w:p>
          <w:p w14:paraId="5832350E" w14:textId="77777777" w:rsidR="00921442" w:rsidRDefault="00921442">
            <w:pPr>
              <w:spacing w:line="240" w:lineRule="auto"/>
              <w:rPr>
                <w:color w:val="000000"/>
              </w:rPr>
            </w:pPr>
          </w:p>
          <w:p w14:paraId="5832350F" w14:textId="77777777" w:rsidR="00921442" w:rsidRDefault="00921442">
            <w:pPr>
              <w:spacing w:line="240" w:lineRule="auto"/>
              <w:rPr>
                <w:color w:val="000000"/>
              </w:rPr>
            </w:pPr>
          </w:p>
          <w:p w14:paraId="58323510" w14:textId="77777777" w:rsidR="00921442" w:rsidRDefault="00921442">
            <w:pPr>
              <w:spacing w:line="240" w:lineRule="auto"/>
              <w:rPr>
                <w:color w:val="000000"/>
              </w:rPr>
            </w:pPr>
          </w:p>
          <w:p w14:paraId="58323511" w14:textId="77777777" w:rsidR="00921442" w:rsidRDefault="00921442">
            <w:pPr>
              <w:spacing w:line="240" w:lineRule="auto"/>
              <w:rPr>
                <w:color w:val="000000"/>
              </w:rPr>
            </w:pPr>
          </w:p>
        </w:tc>
      </w:tr>
      <w:tr w:rsidR="00921442" w14:paraId="58323525"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13" w14:textId="77777777" w:rsidR="00921442" w:rsidRDefault="00BF0314">
            <w:pPr>
              <w:spacing w:line="240" w:lineRule="auto"/>
              <w:rPr>
                <w:color w:val="000000"/>
              </w:rPr>
            </w:pPr>
            <w:r>
              <w:rPr>
                <w:b/>
                <w:bCs/>
                <w:color w:val="000000"/>
              </w:rPr>
              <w:lastRenderedPageBreak/>
              <w:t>Religion or belief</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14" w14:textId="77777777" w:rsidR="00921442" w:rsidRDefault="00BF0314">
            <w:pPr>
              <w:spacing w:line="240" w:lineRule="auto"/>
              <w:rPr>
                <w:color w:val="000000"/>
              </w:rPr>
            </w:pPr>
            <w:r>
              <w:rPr>
                <w:color w:val="000000"/>
              </w:rPr>
              <w:t xml:space="preserve">Possible negative </w:t>
            </w:r>
          </w:p>
          <w:p w14:paraId="58323515" w14:textId="77777777" w:rsidR="00921442" w:rsidRDefault="00BF0314">
            <w:pPr>
              <w:spacing w:line="240" w:lineRule="auto"/>
              <w:rPr>
                <w:color w:val="000000"/>
              </w:rPr>
            </w:pPr>
            <w:r>
              <w:rPr>
                <w:color w:val="000000"/>
              </w:rPr>
              <w:t xml:space="preserve">impact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16" w14:textId="77777777" w:rsidR="00921442" w:rsidRDefault="00BF0314">
            <w:pPr>
              <w:spacing w:line="240" w:lineRule="auto"/>
              <w:rPr>
                <w:color w:val="000000"/>
              </w:rPr>
            </w:pPr>
            <w:r>
              <w:rPr>
                <w:color w:val="000000"/>
              </w:rPr>
              <w:t xml:space="preserve">Potential candidates or participating IRO staff members who may be on leave due to a religious celebration may miss the application deadline. </w:t>
            </w:r>
          </w:p>
          <w:p w14:paraId="58323517" w14:textId="77777777" w:rsidR="00921442" w:rsidRDefault="00921442">
            <w:pPr>
              <w:spacing w:line="240" w:lineRule="auto"/>
              <w:rPr>
                <w:color w:val="000000"/>
              </w:rPr>
            </w:pPr>
          </w:p>
          <w:p w14:paraId="58323518" w14:textId="77777777" w:rsidR="00921442" w:rsidRDefault="00BF0314">
            <w:pPr>
              <w:spacing w:line="240" w:lineRule="auto"/>
              <w:rPr>
                <w:color w:val="000000"/>
              </w:rPr>
            </w:pPr>
            <w:r>
              <w:rPr>
                <w:color w:val="000000"/>
              </w:rPr>
              <w:lastRenderedPageBreak/>
              <w:t xml:space="preserve">Apart from the above, we do not anticipate a person’s religion or belief would impact on their application. </w:t>
            </w:r>
          </w:p>
          <w:p w14:paraId="58323519" w14:textId="77777777" w:rsidR="00921442" w:rsidRDefault="00921442">
            <w:pPr>
              <w:spacing w:line="240" w:lineRule="auto"/>
              <w:rPr>
                <w:color w:val="000000"/>
              </w:rPr>
            </w:pPr>
          </w:p>
          <w:p w14:paraId="5832351A" w14:textId="77777777" w:rsidR="00921442" w:rsidRDefault="00921442">
            <w:pPr>
              <w:spacing w:line="240" w:lineRule="auto"/>
              <w:rPr>
                <w:color w:val="000000"/>
              </w:rPr>
            </w:pP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1B" w14:textId="5218BD96" w:rsidR="00921442" w:rsidRDefault="00BF0314">
            <w:pPr>
              <w:spacing w:line="240" w:lineRule="auto"/>
              <w:rPr>
                <w:color w:val="000000"/>
              </w:rPr>
            </w:pPr>
            <w:r>
              <w:rPr>
                <w:color w:val="000000"/>
              </w:rPr>
              <w:lastRenderedPageBreak/>
              <w:t xml:space="preserve">The scheme coordinator and development team, AHRC and participating IROs ensures that religious observances are </w:t>
            </w:r>
            <w:r w:rsidR="00480ED6">
              <w:rPr>
                <w:color w:val="000000"/>
              </w:rPr>
              <w:t>considered</w:t>
            </w:r>
            <w:r>
              <w:rPr>
                <w:color w:val="000000"/>
              </w:rPr>
              <w:t xml:space="preserve"> as much as possible when timetabling major activities.</w:t>
            </w:r>
          </w:p>
          <w:p w14:paraId="5832351C" w14:textId="77777777" w:rsidR="00921442" w:rsidRDefault="00921442">
            <w:pPr>
              <w:spacing w:line="240" w:lineRule="auto"/>
              <w:rPr>
                <w:color w:val="000000"/>
              </w:rPr>
            </w:pPr>
          </w:p>
          <w:p w14:paraId="5832351D" w14:textId="77777777" w:rsidR="00921442" w:rsidRDefault="00BF0314">
            <w:pPr>
              <w:spacing w:line="240" w:lineRule="auto"/>
              <w:rPr>
                <w:color w:val="000000"/>
              </w:rPr>
            </w:pPr>
            <w:r>
              <w:rPr>
                <w:color w:val="000000"/>
              </w:rPr>
              <w:lastRenderedPageBreak/>
              <w:t xml:space="preserve">Venues will cater for all dietary requirements if notified in advance. </w:t>
            </w:r>
          </w:p>
          <w:p w14:paraId="5832351E" w14:textId="77777777" w:rsidR="00921442" w:rsidRDefault="00921442">
            <w:pPr>
              <w:spacing w:line="240" w:lineRule="auto"/>
              <w:rPr>
                <w:color w:val="000000"/>
              </w:rPr>
            </w:pPr>
          </w:p>
          <w:p w14:paraId="5832351F" w14:textId="2624314D" w:rsidR="00921442" w:rsidRDefault="00BF0314">
            <w:pPr>
              <w:spacing w:line="240" w:lineRule="auto"/>
              <w:rPr>
                <w:color w:val="000000"/>
              </w:rPr>
            </w:pPr>
            <w:r>
              <w:rPr>
                <w:color w:val="000000"/>
              </w:rPr>
              <w:t xml:space="preserve">Townhall meetings will be </w:t>
            </w:r>
            <w:r w:rsidR="00076F4D">
              <w:rPr>
                <w:color w:val="000000"/>
              </w:rPr>
              <w:t>recorded,</w:t>
            </w:r>
            <w:r>
              <w:rPr>
                <w:color w:val="000000"/>
              </w:rPr>
              <w:t xml:space="preserve"> and a </w:t>
            </w:r>
            <w:r w:rsidR="00480ED6">
              <w:rPr>
                <w:color w:val="000000"/>
              </w:rPr>
              <w:t>recording published</w:t>
            </w:r>
            <w:r>
              <w:rPr>
                <w:color w:val="000000"/>
              </w:rPr>
              <w:t xml:space="preserve"> online for the benefit of candidates unable to watch the </w:t>
            </w:r>
            <w:r w:rsidR="00076F4D">
              <w:rPr>
                <w:color w:val="000000"/>
              </w:rPr>
              <w:t>webinars live</w:t>
            </w:r>
            <w:r>
              <w:rPr>
                <w:color w:val="000000"/>
              </w:rPr>
              <w:t xml:space="preserve">, including candidates who might be on leave due to religious events. </w:t>
            </w:r>
          </w:p>
          <w:p w14:paraId="58323520" w14:textId="77777777" w:rsidR="00921442" w:rsidRDefault="00921442">
            <w:pPr>
              <w:spacing w:line="240" w:lineRule="auto"/>
              <w:rPr>
                <w:color w:val="000000"/>
              </w:rPr>
            </w:pPr>
          </w:p>
          <w:p w14:paraId="58323521" w14:textId="77777777"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522" w14:textId="77777777" w:rsidR="00921442" w:rsidRDefault="00921442">
            <w:pPr>
              <w:spacing w:line="240" w:lineRule="auto"/>
              <w:rPr>
                <w:color w:val="000000"/>
              </w:rPr>
            </w:pPr>
          </w:p>
          <w:p w14:paraId="58323523" w14:textId="77777777" w:rsidR="00921442" w:rsidRDefault="00921442">
            <w:pPr>
              <w:spacing w:line="240" w:lineRule="auto"/>
              <w:rPr>
                <w:color w:val="000000"/>
              </w:rPr>
            </w:pPr>
          </w:p>
          <w:p w14:paraId="58323524" w14:textId="77777777" w:rsidR="00921442" w:rsidRDefault="00921442">
            <w:pPr>
              <w:spacing w:line="240" w:lineRule="auto"/>
              <w:rPr>
                <w:color w:val="000000"/>
              </w:rPr>
            </w:pPr>
          </w:p>
        </w:tc>
      </w:tr>
      <w:tr w:rsidR="00921442" w14:paraId="5832352F"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26" w14:textId="77777777" w:rsidR="00921442" w:rsidRDefault="00BF0314">
            <w:pPr>
              <w:spacing w:line="240" w:lineRule="auto"/>
              <w:rPr>
                <w:color w:val="000000"/>
              </w:rPr>
            </w:pPr>
            <w:r>
              <w:rPr>
                <w:b/>
                <w:bCs/>
                <w:color w:val="000000"/>
              </w:rPr>
              <w:lastRenderedPageBreak/>
              <w:t>Sexual orientation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27" w14:textId="77777777" w:rsidR="00921442" w:rsidRDefault="00BF0314">
            <w:pPr>
              <w:spacing w:line="240" w:lineRule="auto"/>
              <w:rPr>
                <w:color w:val="000000"/>
              </w:rPr>
            </w:pPr>
            <w:r>
              <w:rPr>
                <w:color w:val="000000"/>
              </w:rPr>
              <w:t>No impact</w:t>
            </w:r>
          </w:p>
          <w:p w14:paraId="58323528" w14:textId="77777777" w:rsidR="00921442" w:rsidRDefault="00921442">
            <w:pPr>
              <w:spacing w:line="240"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29" w14:textId="77777777" w:rsidR="00921442" w:rsidRDefault="00BF0314">
            <w:pPr>
              <w:spacing w:line="240" w:lineRule="auto"/>
              <w:rPr>
                <w:color w:val="000000"/>
              </w:rPr>
            </w:pPr>
            <w:r>
              <w:rPr>
                <w:color w:val="000000"/>
              </w:rPr>
              <w:t xml:space="preserve">We do not anticipate a person’s sexual orientation would impact on their application. </w:t>
            </w: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2A" w14:textId="77777777" w:rsidR="00921442" w:rsidRDefault="00BF0314">
            <w:pPr>
              <w:spacing w:line="240" w:lineRule="auto"/>
              <w:rPr>
                <w:color w:val="000000"/>
              </w:rPr>
            </w:pPr>
            <w:r>
              <w:rPr>
                <w:color w:val="000000"/>
              </w:rPr>
              <w:t xml:space="preserve">The scheme coordinator and development team, AHRC and participating IROs give a great flexibility to design fellowship projects to allow participation of persons of all sexual orientations. </w:t>
            </w:r>
          </w:p>
          <w:p w14:paraId="5832352B" w14:textId="77777777" w:rsidR="00921442" w:rsidRDefault="00921442">
            <w:pPr>
              <w:spacing w:line="240" w:lineRule="auto"/>
              <w:rPr>
                <w:color w:val="000000"/>
              </w:rPr>
            </w:pPr>
          </w:p>
          <w:p w14:paraId="5832352C" w14:textId="354DBCA3"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52D" w14:textId="77777777" w:rsidR="00921442" w:rsidRDefault="00921442">
            <w:pPr>
              <w:spacing w:line="240" w:lineRule="auto"/>
              <w:rPr>
                <w:color w:val="000000"/>
              </w:rPr>
            </w:pPr>
          </w:p>
          <w:p w14:paraId="5832352E" w14:textId="77777777" w:rsidR="00921442" w:rsidRDefault="00921442">
            <w:pPr>
              <w:spacing w:line="240" w:lineRule="auto"/>
              <w:rPr>
                <w:color w:val="000000"/>
              </w:rPr>
            </w:pPr>
          </w:p>
        </w:tc>
      </w:tr>
      <w:tr w:rsidR="00921442" w14:paraId="5832353D" w14:textId="77777777">
        <w:tc>
          <w:tcPr>
            <w:tcW w:w="1555"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30" w14:textId="77777777" w:rsidR="00921442" w:rsidRDefault="00BF0314">
            <w:pPr>
              <w:spacing w:line="240" w:lineRule="auto"/>
              <w:rPr>
                <w:color w:val="000000"/>
              </w:rPr>
            </w:pPr>
            <w:r>
              <w:rPr>
                <w:b/>
                <w:bCs/>
                <w:color w:val="000000"/>
              </w:rPr>
              <w:t>Sex (gender)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31" w14:textId="77777777" w:rsidR="00921442" w:rsidRDefault="00BF0314">
            <w:pPr>
              <w:spacing w:line="240" w:lineRule="auto"/>
              <w:rPr>
                <w:color w:val="000000"/>
              </w:rPr>
            </w:pPr>
            <w:r>
              <w:rPr>
                <w:color w:val="000000"/>
              </w:rPr>
              <w:t>Potential negative</w:t>
            </w:r>
            <w:r>
              <w:rPr>
                <w:color w:val="2E97D3"/>
              </w:rPr>
              <w:t xml:space="preserve"> </w:t>
            </w:r>
            <w:r w:rsidRPr="00D66C18">
              <w:t xml:space="preserve">impact </w:t>
            </w:r>
          </w:p>
          <w:p w14:paraId="58323532" w14:textId="77777777" w:rsidR="00921442" w:rsidRDefault="00921442">
            <w:pPr>
              <w:spacing w:line="240"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33" w14:textId="77777777" w:rsidR="00921442" w:rsidRDefault="00BF0314">
            <w:pPr>
              <w:spacing w:line="240" w:lineRule="auto"/>
              <w:rPr>
                <w:color w:val="000000"/>
              </w:rPr>
            </w:pPr>
            <w:r>
              <w:rPr>
                <w:color w:val="000000"/>
              </w:rPr>
              <w:t xml:space="preserve">See ‘Pregnancy and maternity’. </w:t>
            </w:r>
          </w:p>
          <w:p w14:paraId="58323534" w14:textId="77777777" w:rsidR="00921442" w:rsidRDefault="00921442">
            <w:pPr>
              <w:spacing w:line="240" w:lineRule="auto"/>
              <w:rPr>
                <w:color w:val="000000"/>
              </w:rPr>
            </w:pPr>
          </w:p>
          <w:p w14:paraId="58323535" w14:textId="77777777" w:rsidR="00921442" w:rsidRDefault="00BF0314">
            <w:pPr>
              <w:spacing w:line="240" w:lineRule="auto"/>
              <w:rPr>
                <w:color w:val="000000"/>
              </w:rPr>
            </w:pPr>
            <w:r>
              <w:rPr>
                <w:color w:val="000000"/>
              </w:rPr>
              <w:t xml:space="preserve">Another gender-specific barrier might occur if a candidate is going through the menopause at the point of applying, or is experiencing any sex-specific health issue, e.g. prostate cancer or ovarian cancer. The point about inclusive language made under ‘Gender </w:t>
            </w:r>
            <w:r>
              <w:rPr>
                <w:color w:val="000000"/>
              </w:rPr>
              <w:lastRenderedPageBreak/>
              <w:t xml:space="preserve">reassignment’ is also important here due to persons who identify as non-binary/ gender-queer or transgender (irrespective of whether they had gender reassignment). </w:t>
            </w:r>
          </w:p>
          <w:p w14:paraId="58323536" w14:textId="77777777" w:rsidR="00921442" w:rsidRDefault="00921442">
            <w:pPr>
              <w:spacing w:line="240" w:lineRule="auto"/>
              <w:rPr>
                <w:color w:val="000000"/>
              </w:rPr>
            </w:pPr>
          </w:p>
        </w:tc>
        <w:tc>
          <w:tcPr>
            <w:tcW w:w="363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37" w14:textId="1BBC18F7" w:rsidR="00921442" w:rsidRDefault="00BF0314">
            <w:pPr>
              <w:spacing w:line="240" w:lineRule="auto"/>
              <w:rPr>
                <w:color w:val="000000"/>
              </w:rPr>
            </w:pPr>
            <w:r>
              <w:rPr>
                <w:color w:val="000000"/>
              </w:rPr>
              <w:lastRenderedPageBreak/>
              <w:t xml:space="preserve">The duration of the funding opportunity being live – </w:t>
            </w:r>
            <w:r w:rsidRPr="00D66C18">
              <w:t xml:space="preserve">five months </w:t>
            </w:r>
            <w:r w:rsidR="00D66C18">
              <w:rPr>
                <w:color w:val="000000"/>
              </w:rPr>
              <w:t>– is</w:t>
            </w:r>
            <w:r>
              <w:rPr>
                <w:color w:val="000000"/>
              </w:rPr>
              <w:t xml:space="preserve"> generous and should allow inclusivity.  We have also published a pre-announcement in May 2022 to inform any potential applicants about this opportunity </w:t>
            </w:r>
            <w:r w:rsidR="00D66C18">
              <w:rPr>
                <w:color w:val="000000"/>
              </w:rPr>
              <w:t>in advance</w:t>
            </w:r>
            <w:r>
              <w:rPr>
                <w:color w:val="000000"/>
              </w:rPr>
              <w:t xml:space="preserve">. Applicants and participating IROs have a great flexibility to design the fellowship project to allow participation of all sexes and genders. We encourage part-time and hybrid arrangements and we set </w:t>
            </w:r>
            <w:r>
              <w:rPr>
                <w:color w:val="000000"/>
              </w:rPr>
              <w:lastRenderedPageBreak/>
              <w:t xml:space="preserve">up a generous bracket of 1 to 3 years. </w:t>
            </w:r>
          </w:p>
          <w:p w14:paraId="58323538" w14:textId="77777777" w:rsidR="00921442" w:rsidRDefault="00921442">
            <w:pPr>
              <w:spacing w:line="240" w:lineRule="auto"/>
              <w:rPr>
                <w:color w:val="000000"/>
              </w:rPr>
            </w:pPr>
          </w:p>
          <w:p w14:paraId="58323539" w14:textId="77777777"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53A" w14:textId="77777777" w:rsidR="00921442" w:rsidRDefault="00921442">
            <w:pPr>
              <w:spacing w:line="240" w:lineRule="auto"/>
              <w:rPr>
                <w:color w:val="000000"/>
              </w:rPr>
            </w:pPr>
          </w:p>
          <w:p w14:paraId="5832353B" w14:textId="6AA0CB52" w:rsidR="00921442" w:rsidRDefault="00BF0314">
            <w:pPr>
              <w:spacing w:line="240" w:lineRule="auto"/>
              <w:rPr>
                <w:color w:val="000000"/>
              </w:rPr>
            </w:pPr>
            <w:r>
              <w:rPr>
                <w:color w:val="000000"/>
              </w:rPr>
              <w:t xml:space="preserve">The scheme coordination and development team, AHRC and participating IROs will use gender-neutral pronouns such as ‘you/they’ instead of ‘he/she’ in the funding opportunity documents </w:t>
            </w:r>
            <w:r w:rsidR="00D66C18">
              <w:rPr>
                <w:color w:val="000000"/>
              </w:rPr>
              <w:t>and reporting</w:t>
            </w:r>
            <w:r>
              <w:rPr>
                <w:color w:val="000000"/>
              </w:rPr>
              <w:t>. By publishing this EIA, we also want to encourage secondees and their receiving organisations to use gender neutral language throughout their interactions.</w:t>
            </w:r>
          </w:p>
          <w:p w14:paraId="5832353C" w14:textId="77777777" w:rsidR="00921442" w:rsidRDefault="00921442">
            <w:pPr>
              <w:spacing w:line="240" w:lineRule="auto"/>
              <w:rPr>
                <w:color w:val="000000"/>
              </w:rPr>
            </w:pPr>
          </w:p>
        </w:tc>
      </w:tr>
      <w:tr w:rsidR="00921442" w14:paraId="58323546" w14:textId="77777777">
        <w:tc>
          <w:tcPr>
            <w:tcW w:w="1555" w:type="dxa"/>
            <w:tcBorders>
              <w:top w:val="single" w:sz="4" w:space="0" w:color="000000"/>
              <w:right w:val="single" w:sz="4" w:space="0" w:color="000000"/>
            </w:tcBorders>
            <w:shd w:val="clear" w:color="auto" w:fill="C6D9F0"/>
            <w:tcMar>
              <w:top w:w="0" w:type="dxa"/>
              <w:left w:w="108" w:type="dxa"/>
              <w:bottom w:w="0" w:type="dxa"/>
              <w:right w:w="108" w:type="dxa"/>
            </w:tcMar>
            <w:hideMark/>
          </w:tcPr>
          <w:p w14:paraId="5832353E" w14:textId="77777777" w:rsidR="00921442" w:rsidRDefault="00BF0314">
            <w:pPr>
              <w:spacing w:line="240" w:lineRule="auto"/>
              <w:rPr>
                <w:color w:val="000000"/>
              </w:rPr>
            </w:pPr>
            <w:r>
              <w:rPr>
                <w:b/>
                <w:bCs/>
                <w:color w:val="000000"/>
              </w:rPr>
              <w:lastRenderedPageBreak/>
              <w:t>Age</w:t>
            </w: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5832353F" w14:textId="77777777" w:rsidR="00921442" w:rsidRDefault="00BF0314">
            <w:pPr>
              <w:spacing w:line="240" w:lineRule="auto"/>
              <w:rPr>
                <w:color w:val="000000"/>
              </w:rPr>
            </w:pPr>
            <w:r>
              <w:rPr>
                <w:color w:val="000000"/>
              </w:rPr>
              <w:t xml:space="preserve">No impact </w:t>
            </w:r>
          </w:p>
        </w:tc>
        <w:tc>
          <w:tcPr>
            <w:tcW w:w="283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58323540" w14:textId="77777777" w:rsidR="00921442" w:rsidRDefault="00BF0314">
            <w:pPr>
              <w:spacing w:line="240" w:lineRule="auto"/>
              <w:rPr>
                <w:color w:val="000000"/>
              </w:rPr>
            </w:pPr>
            <w:r>
              <w:rPr>
                <w:color w:val="000000"/>
              </w:rPr>
              <w:t xml:space="preserve">AHRC and UKRI designed this flexible scheme to make it inclusive. The flexibility might appeal to and benefit persons across a wide range of adult age groups who qualify as Early Career Researchers. </w:t>
            </w:r>
          </w:p>
        </w:tc>
        <w:tc>
          <w:tcPr>
            <w:tcW w:w="3634" w:type="dxa"/>
            <w:tcBorders>
              <w:top w:val="single" w:sz="4" w:space="0" w:color="000000"/>
              <w:left w:val="single" w:sz="4" w:space="0" w:color="000000"/>
            </w:tcBorders>
            <w:tcMar>
              <w:top w:w="0" w:type="dxa"/>
              <w:left w:w="108" w:type="dxa"/>
              <w:bottom w:w="0" w:type="dxa"/>
              <w:right w:w="108" w:type="dxa"/>
            </w:tcMar>
            <w:hideMark/>
          </w:tcPr>
          <w:p w14:paraId="58323541" w14:textId="77777777" w:rsidR="00921442" w:rsidRDefault="00BF0314">
            <w:pPr>
              <w:spacing w:line="240" w:lineRule="auto"/>
              <w:rPr>
                <w:color w:val="000000"/>
              </w:rPr>
            </w:pPr>
            <w:r>
              <w:rPr>
                <w:color w:val="000000"/>
              </w:rPr>
              <w:t>The scheme is open to early career researchers from a wide range of adult age gr</w:t>
            </w:r>
            <w:r w:rsidRPr="00D66C18">
              <w:t>oups. We do not define early career by age. Applicants are encouraged to consult the definition of ECR in the Funding Finder call description.</w:t>
            </w:r>
          </w:p>
          <w:p w14:paraId="58323542" w14:textId="77777777" w:rsidR="00921442" w:rsidRDefault="00921442">
            <w:pPr>
              <w:spacing w:line="240" w:lineRule="auto"/>
              <w:rPr>
                <w:color w:val="000000"/>
              </w:rPr>
            </w:pPr>
          </w:p>
          <w:p w14:paraId="58323543" w14:textId="77777777" w:rsidR="00921442" w:rsidRDefault="00BF0314">
            <w:pPr>
              <w:spacing w:line="240" w:lineRule="auto"/>
              <w:rPr>
                <w:color w:val="000000"/>
              </w:rPr>
            </w:pPr>
            <w:r>
              <w:rPr>
                <w:color w:val="000000"/>
              </w:rPr>
              <w:t>Applicants and their host organisations should discuss any personal needs based on this protected characteristic in confidence. This should be compliant with the EDI policies at the host organisation and inspired by UKRI’s policies and approach to equality, diversity and inclusion.</w:t>
            </w:r>
          </w:p>
          <w:p w14:paraId="58323544" w14:textId="77777777" w:rsidR="00921442" w:rsidRDefault="00921442">
            <w:pPr>
              <w:spacing w:line="240" w:lineRule="auto"/>
              <w:rPr>
                <w:color w:val="000000"/>
              </w:rPr>
            </w:pPr>
          </w:p>
          <w:p w14:paraId="58323545" w14:textId="77777777" w:rsidR="00921442" w:rsidRDefault="00921442">
            <w:pPr>
              <w:spacing w:line="240" w:lineRule="auto"/>
              <w:rPr>
                <w:b/>
                <w:bCs/>
                <w:color w:val="000000"/>
              </w:rPr>
            </w:pPr>
          </w:p>
        </w:tc>
      </w:tr>
    </w:tbl>
    <w:p w14:paraId="58323547" w14:textId="77777777" w:rsidR="00921442" w:rsidRDefault="00921442">
      <w:pPr>
        <w:rPr>
          <w:b/>
          <w:bCs/>
        </w:rPr>
      </w:pPr>
    </w:p>
    <w:p w14:paraId="58323548" w14:textId="77777777" w:rsidR="00921442" w:rsidRDefault="00921442">
      <w:pPr>
        <w:rPr>
          <w:sz w:val="24"/>
          <w:szCs w:val="24"/>
        </w:rPr>
      </w:pPr>
    </w:p>
    <w:p w14:paraId="58323549" w14:textId="77777777" w:rsidR="00921442" w:rsidRDefault="00BF0314">
      <w:r>
        <w:rPr>
          <w:b/>
          <w:bCs/>
        </w:rPr>
        <w:t xml:space="preserve">Evaluation: </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6"/>
        <w:gridCol w:w="2097"/>
        <w:gridCol w:w="3889"/>
      </w:tblGrid>
      <w:tr w:rsidR="00921442" w14:paraId="5832354C" w14:textId="77777777">
        <w:tc>
          <w:tcPr>
            <w:tcW w:w="3256" w:type="dxa"/>
            <w:tcBorders>
              <w:bottom w:val="single" w:sz="4" w:space="0" w:color="000000"/>
              <w:right w:val="single" w:sz="4" w:space="0" w:color="000000"/>
            </w:tcBorders>
            <w:shd w:val="clear" w:color="auto" w:fill="C6D9F0"/>
            <w:tcMar>
              <w:top w:w="0" w:type="dxa"/>
              <w:left w:w="108" w:type="dxa"/>
              <w:bottom w:w="0" w:type="dxa"/>
              <w:right w:w="108" w:type="dxa"/>
            </w:tcMar>
            <w:hideMark/>
          </w:tcPr>
          <w:p w14:paraId="5832354A" w14:textId="77777777" w:rsidR="00921442" w:rsidRDefault="00BF0314">
            <w:pPr>
              <w:spacing w:line="240" w:lineRule="auto"/>
              <w:rPr>
                <w:color w:val="000000"/>
              </w:rPr>
            </w:pPr>
            <w:r>
              <w:rPr>
                <w:b/>
                <w:bCs/>
                <w:color w:val="000000"/>
              </w:rPr>
              <w:t xml:space="preserve">Question </w:t>
            </w:r>
          </w:p>
        </w:tc>
        <w:tc>
          <w:tcPr>
            <w:tcW w:w="5986" w:type="dxa"/>
            <w:gridSpan w:val="2"/>
            <w:tcBorders>
              <w:left w:val="single" w:sz="4" w:space="0" w:color="000000"/>
              <w:bottom w:val="single" w:sz="4" w:space="0" w:color="000000"/>
            </w:tcBorders>
            <w:shd w:val="clear" w:color="auto" w:fill="C6D9F0"/>
            <w:tcMar>
              <w:top w:w="0" w:type="dxa"/>
              <w:left w:w="108" w:type="dxa"/>
              <w:bottom w:w="0" w:type="dxa"/>
              <w:right w:w="108" w:type="dxa"/>
            </w:tcMar>
            <w:hideMark/>
          </w:tcPr>
          <w:p w14:paraId="5832354B" w14:textId="77777777" w:rsidR="00921442" w:rsidRDefault="00BF0314">
            <w:pPr>
              <w:spacing w:line="240" w:lineRule="auto"/>
              <w:rPr>
                <w:color w:val="000000"/>
              </w:rPr>
            </w:pPr>
            <w:r>
              <w:rPr>
                <w:b/>
                <w:bCs/>
                <w:color w:val="000000"/>
              </w:rPr>
              <w:t>Explanation / justification</w:t>
            </w:r>
          </w:p>
        </w:tc>
      </w:tr>
      <w:tr w:rsidR="00921442" w14:paraId="5832355B" w14:textId="77777777">
        <w:tc>
          <w:tcPr>
            <w:tcW w:w="325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32354D" w14:textId="77777777" w:rsidR="00921442" w:rsidRDefault="00BF0314">
            <w:pPr>
              <w:spacing w:after="200"/>
              <w:rPr>
                <w:color w:val="000000"/>
              </w:rPr>
            </w:pPr>
            <w:r>
              <w:rPr>
                <w:color w:val="000000"/>
              </w:rPr>
              <w:t>Is it possible the proposed policy or activity or change in policy or activity could discriminate or unfairly disadvantage people?</w:t>
            </w:r>
          </w:p>
          <w:p w14:paraId="5832354E" w14:textId="77777777" w:rsidR="00921442" w:rsidRDefault="00921442">
            <w:pPr>
              <w:spacing w:line="240" w:lineRule="auto"/>
              <w:rPr>
                <w:b/>
                <w:bCs/>
                <w:color w:val="000000"/>
              </w:rPr>
            </w:pPr>
          </w:p>
        </w:tc>
        <w:tc>
          <w:tcPr>
            <w:tcW w:w="5986"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4F" w14:textId="77777777" w:rsidR="00921442" w:rsidRDefault="00BF0314">
            <w:pPr>
              <w:spacing w:line="240" w:lineRule="auto"/>
              <w:rPr>
                <w:color w:val="000000"/>
              </w:rPr>
            </w:pPr>
            <w:r>
              <w:rPr>
                <w:color w:val="000000"/>
              </w:rPr>
              <w:t xml:space="preserve">It is the first time the fellowship scheme has run. Therefore, there is a risk of unanticipated/ unintended issues arising, which is a part of the rationale for treating this funding opportunity as a pilot. A risk exists because the scheme is open for a wide range of candidates who qualify as early career researchers, </w:t>
            </w:r>
            <w:r>
              <w:rPr>
                <w:color w:val="000000"/>
              </w:rPr>
              <w:lastRenderedPageBreak/>
              <w:t xml:space="preserve">who will be working with a wide range of organisations, and IROs and GLAM sector organisations who will host the fellows and be fellowship partners may have varying levels of experience in supporting EDI. </w:t>
            </w:r>
          </w:p>
          <w:p w14:paraId="58323550" w14:textId="77777777" w:rsidR="00921442" w:rsidRDefault="00921442">
            <w:pPr>
              <w:spacing w:line="240" w:lineRule="auto"/>
              <w:rPr>
                <w:color w:val="000000"/>
              </w:rPr>
            </w:pPr>
          </w:p>
          <w:p w14:paraId="58323551" w14:textId="77777777" w:rsidR="00921442" w:rsidRDefault="00BF0314">
            <w:pPr>
              <w:spacing w:line="240" w:lineRule="auto"/>
              <w:rPr>
                <w:color w:val="000000"/>
              </w:rPr>
            </w:pPr>
            <w:r>
              <w:rPr>
                <w:color w:val="000000"/>
              </w:rPr>
              <w:t>This risk is mitigated as follows:</w:t>
            </w:r>
          </w:p>
          <w:p w14:paraId="58323552" w14:textId="77777777" w:rsidR="00921442" w:rsidRDefault="00BF0314">
            <w:pPr>
              <w:numPr>
                <w:ilvl w:val="0"/>
                <w:numId w:val="14"/>
              </w:numPr>
              <w:pBdr>
                <w:left w:val="none" w:sz="0" w:space="11" w:color="auto"/>
              </w:pBdr>
              <w:spacing w:line="240" w:lineRule="auto"/>
              <w:ind w:hanging="500"/>
              <w:rPr>
                <w:rFonts w:ascii="Times New Roman" w:eastAsia="Times New Roman" w:hAnsi="Times New Roman" w:cs="Times New Roman"/>
                <w:color w:val="000000"/>
              </w:rPr>
            </w:pPr>
            <w:r>
              <w:rPr>
                <w:color w:val="000000"/>
              </w:rPr>
              <w:t xml:space="preserve">Through the pre-announcement, information townhalls and online matchmaking, </w:t>
            </w:r>
            <w:r w:rsidRPr="00D66C18">
              <w:t xml:space="preserve">and advertising through </w:t>
            </w:r>
            <w:r>
              <w:rPr>
                <w:color w:val="000000"/>
              </w:rPr>
              <w:t>a wide range of channels</w:t>
            </w:r>
          </w:p>
          <w:p w14:paraId="58323553" w14:textId="77777777" w:rsidR="00921442" w:rsidRDefault="00BF0314">
            <w:pPr>
              <w:numPr>
                <w:ilvl w:val="0"/>
                <w:numId w:val="14"/>
              </w:numPr>
              <w:pBdr>
                <w:left w:val="none" w:sz="0" w:space="11" w:color="auto"/>
              </w:pBdr>
              <w:spacing w:line="240" w:lineRule="auto"/>
              <w:ind w:hanging="500"/>
              <w:rPr>
                <w:rFonts w:ascii="Times New Roman" w:eastAsia="Times New Roman" w:hAnsi="Times New Roman" w:cs="Times New Roman"/>
                <w:color w:val="000000"/>
              </w:rPr>
            </w:pPr>
            <w:r>
              <w:rPr>
                <w:color w:val="000000"/>
              </w:rPr>
              <w:t>Through the use of standard UKRI fEC Grants Terms and Conditions which provide flexibility.</w:t>
            </w:r>
          </w:p>
          <w:p w14:paraId="58323554" w14:textId="77777777" w:rsidR="00921442" w:rsidRDefault="00BF0314">
            <w:pPr>
              <w:numPr>
                <w:ilvl w:val="0"/>
                <w:numId w:val="14"/>
              </w:numPr>
              <w:pBdr>
                <w:left w:val="none" w:sz="0" w:space="11" w:color="auto"/>
              </w:pBdr>
              <w:spacing w:line="240" w:lineRule="auto"/>
              <w:ind w:hanging="500"/>
              <w:rPr>
                <w:rFonts w:ascii="Times New Roman" w:eastAsia="Times New Roman" w:hAnsi="Times New Roman" w:cs="Times New Roman"/>
                <w:color w:val="000000"/>
              </w:rPr>
            </w:pPr>
            <w:r>
              <w:rPr>
                <w:color w:val="000000"/>
              </w:rPr>
              <w:t>Through the piloting of the narrative CV (‘Resume for researchers’) instead of standard CVs in order to provide applicants from diverse backgrounds and career histories with opportunities to highlight their achievements of relevance to the role</w:t>
            </w:r>
            <w:r>
              <w:rPr>
                <w:rFonts w:ascii="Arial" w:eastAsia="Arial" w:hAnsi="Arial" w:cs="Arial"/>
                <w:color w:val="000000"/>
              </w:rPr>
              <w:t xml:space="preserve"> </w:t>
            </w:r>
            <w:r>
              <w:rPr>
                <w:color w:val="000000"/>
              </w:rPr>
              <w:t xml:space="preserve">(in line with the </w:t>
            </w:r>
            <w:hyperlink r:id="rId10" w:history="1">
              <w:r>
                <w:rPr>
                  <w:color w:val="0000FF"/>
                  <w:u w:val="single" w:color="0000FF"/>
                </w:rPr>
                <w:t>‘Funders Joint Statement: Exploring a Shared Approach Towards a Narrative CV’</w:t>
              </w:r>
            </w:hyperlink>
            <w:r>
              <w:rPr>
                <w:color w:val="000000"/>
              </w:rPr>
              <w:t xml:space="preserve"> signed by UKRI in 2021)</w:t>
            </w:r>
          </w:p>
          <w:p w14:paraId="58323555" w14:textId="77777777" w:rsidR="00921442" w:rsidRDefault="00BF0314">
            <w:pPr>
              <w:numPr>
                <w:ilvl w:val="0"/>
                <w:numId w:val="14"/>
              </w:numPr>
              <w:pBdr>
                <w:left w:val="none" w:sz="0" w:space="11" w:color="auto"/>
              </w:pBdr>
              <w:spacing w:line="240" w:lineRule="auto"/>
              <w:ind w:hanging="500"/>
              <w:rPr>
                <w:rFonts w:ascii="Times New Roman" w:eastAsia="Times New Roman" w:hAnsi="Times New Roman" w:cs="Times New Roman"/>
                <w:color w:val="000000"/>
              </w:rPr>
            </w:pPr>
            <w:r>
              <w:rPr>
                <w:color w:val="000000"/>
              </w:rPr>
              <w:t xml:space="preserve">Through the assessment panel process which will work according to UKRI’s equality, diversity and inclusion (EDI) guidelines, and ensure that all proposed secondments are in line with EDI principles </w:t>
            </w:r>
          </w:p>
          <w:p w14:paraId="58323556" w14:textId="77777777" w:rsidR="00921442" w:rsidRDefault="00BF0314">
            <w:pPr>
              <w:numPr>
                <w:ilvl w:val="0"/>
                <w:numId w:val="14"/>
              </w:numPr>
              <w:pBdr>
                <w:left w:val="none" w:sz="0" w:space="11" w:color="auto"/>
              </w:pBdr>
              <w:spacing w:line="240" w:lineRule="auto"/>
              <w:ind w:hanging="500"/>
              <w:rPr>
                <w:rFonts w:ascii="Times New Roman" w:eastAsia="Times New Roman" w:hAnsi="Times New Roman" w:cs="Times New Roman"/>
                <w:color w:val="000000"/>
              </w:rPr>
            </w:pPr>
            <w:r>
              <w:rPr>
                <w:color w:val="000000"/>
              </w:rPr>
              <w:t xml:space="preserve">Assessors at the EoI and full application stage will attend mandatory AHRC Peer Review College training materials covering EDI, which uses the Royal Society's unconscious bias training. Any off-college reviewers are required to read AHRC EDI PRC training materials on </w:t>
            </w:r>
            <w:hyperlink r:id="rId11" w:history="1">
              <w:r>
                <w:rPr>
                  <w:color w:val="0000FF"/>
                  <w:u w:val="single" w:color="0000FF"/>
                </w:rPr>
                <w:t>our website</w:t>
              </w:r>
            </w:hyperlink>
            <w:r>
              <w:rPr>
                <w:color w:val="633277"/>
                <w:u w:val="single" w:color="633277"/>
              </w:rPr>
              <w:t>.</w:t>
            </w:r>
            <w:r>
              <w:rPr>
                <w:color w:val="000000"/>
              </w:rPr>
              <w:t xml:space="preserve">  </w:t>
            </w:r>
          </w:p>
          <w:p w14:paraId="58323557" w14:textId="77777777" w:rsidR="00921442" w:rsidRDefault="00BF0314">
            <w:pPr>
              <w:numPr>
                <w:ilvl w:val="0"/>
                <w:numId w:val="14"/>
              </w:numPr>
              <w:pBdr>
                <w:left w:val="none" w:sz="0" w:space="11" w:color="auto"/>
              </w:pBdr>
              <w:spacing w:line="240" w:lineRule="auto"/>
              <w:ind w:hanging="500"/>
              <w:rPr>
                <w:rFonts w:ascii="Times New Roman" w:eastAsia="Times New Roman" w:hAnsi="Times New Roman" w:cs="Times New Roman"/>
                <w:color w:val="000000"/>
              </w:rPr>
            </w:pPr>
            <w:r>
              <w:rPr>
                <w:color w:val="000000"/>
              </w:rPr>
              <w:t>When assessment panel meetings at IROs are organised, the scheme coordination and development team will make the panellists aware of unconscious bias and empower everyone in attendance to challenge cases of bias.</w:t>
            </w:r>
          </w:p>
          <w:p w14:paraId="58323558" w14:textId="77777777" w:rsidR="00921442" w:rsidRDefault="00921442">
            <w:pPr>
              <w:spacing w:line="240" w:lineRule="auto"/>
              <w:rPr>
                <w:color w:val="000000"/>
              </w:rPr>
            </w:pPr>
          </w:p>
          <w:p w14:paraId="58323559" w14:textId="77777777" w:rsidR="00921442" w:rsidRDefault="00BF0314">
            <w:pPr>
              <w:spacing w:line="240" w:lineRule="auto"/>
              <w:rPr>
                <w:color w:val="000000"/>
              </w:rPr>
            </w:pPr>
            <w:r>
              <w:rPr>
                <w:color w:val="000000"/>
              </w:rPr>
              <w:t>The scheme coordination and development team and the AHRC expects the participating IROs to support potential and successful fellowship applicants with diverse needs before and at the point of application.</w:t>
            </w:r>
          </w:p>
          <w:p w14:paraId="5832355A" w14:textId="77777777" w:rsidR="00921442" w:rsidRDefault="00921442">
            <w:pPr>
              <w:spacing w:line="240" w:lineRule="auto"/>
              <w:rPr>
                <w:color w:val="000000"/>
              </w:rPr>
            </w:pPr>
          </w:p>
        </w:tc>
      </w:tr>
      <w:tr w:rsidR="00921442" w14:paraId="58323560" w14:textId="77777777">
        <w:tc>
          <w:tcPr>
            <w:tcW w:w="3256"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5C" w14:textId="77777777" w:rsidR="00921442" w:rsidRDefault="00BF0314">
            <w:pPr>
              <w:spacing w:line="240" w:lineRule="auto"/>
              <w:rPr>
                <w:color w:val="000000"/>
              </w:rPr>
            </w:pPr>
            <w:r>
              <w:rPr>
                <w:b/>
                <w:bCs/>
                <w:color w:val="000000"/>
              </w:rPr>
              <w:lastRenderedPageBreak/>
              <w:t>Final Decision:</w:t>
            </w:r>
          </w:p>
          <w:p w14:paraId="5832355D" w14:textId="77777777" w:rsidR="00921442" w:rsidRDefault="00921442">
            <w:pPr>
              <w:spacing w:line="240" w:lineRule="auto"/>
              <w:rPr>
                <w:b/>
                <w:bCs/>
                <w:color w:val="000000"/>
              </w:rPr>
            </w:pPr>
          </w:p>
        </w:tc>
        <w:tc>
          <w:tcPr>
            <w:tcW w:w="2097" w:type="dxa"/>
            <w:tcBorders>
              <w:top w:val="single" w:sz="4" w:space="0" w:color="000000"/>
              <w:left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5E" w14:textId="77777777" w:rsidR="00921442" w:rsidRDefault="00BF0314">
            <w:pPr>
              <w:spacing w:line="240" w:lineRule="auto"/>
              <w:rPr>
                <w:color w:val="000000"/>
              </w:rPr>
            </w:pPr>
            <w:r>
              <w:rPr>
                <w:b/>
                <w:bCs/>
                <w:color w:val="000000"/>
              </w:rPr>
              <w:t>Tick the relevant box</w:t>
            </w:r>
          </w:p>
        </w:tc>
        <w:tc>
          <w:tcPr>
            <w:tcW w:w="3889" w:type="dxa"/>
            <w:tcBorders>
              <w:top w:val="single" w:sz="4" w:space="0" w:color="000000"/>
              <w:left w:val="single" w:sz="4" w:space="0" w:color="000000"/>
              <w:bottom w:val="single" w:sz="4" w:space="0" w:color="000000"/>
            </w:tcBorders>
            <w:shd w:val="clear" w:color="auto" w:fill="C6D9F0"/>
            <w:tcMar>
              <w:top w:w="0" w:type="dxa"/>
              <w:left w:w="108" w:type="dxa"/>
              <w:bottom w:w="0" w:type="dxa"/>
              <w:right w:w="108" w:type="dxa"/>
            </w:tcMar>
            <w:hideMark/>
          </w:tcPr>
          <w:p w14:paraId="5832355F" w14:textId="77777777" w:rsidR="00921442" w:rsidRDefault="00BF0314">
            <w:pPr>
              <w:spacing w:line="240" w:lineRule="auto"/>
              <w:rPr>
                <w:color w:val="000000"/>
              </w:rPr>
            </w:pPr>
            <w:r>
              <w:rPr>
                <w:b/>
                <w:bCs/>
                <w:color w:val="000000"/>
              </w:rPr>
              <w:t>Include any explanation / justification required</w:t>
            </w:r>
          </w:p>
        </w:tc>
      </w:tr>
      <w:tr w:rsidR="00921442" w14:paraId="58323564" w14:textId="77777777">
        <w:tc>
          <w:tcPr>
            <w:tcW w:w="325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323561" w14:textId="77777777" w:rsidR="00921442" w:rsidRDefault="00BF0314">
            <w:pPr>
              <w:numPr>
                <w:ilvl w:val="0"/>
                <w:numId w:val="15"/>
              </w:numPr>
              <w:pBdr>
                <w:left w:val="none" w:sz="0" w:space="4" w:color="auto"/>
              </w:pBdr>
              <w:spacing w:line="240" w:lineRule="auto"/>
              <w:ind w:left="360"/>
              <w:rPr>
                <w:color w:val="000000"/>
              </w:rPr>
            </w:pPr>
            <w:r>
              <w:rPr>
                <w:color w:val="000000"/>
              </w:rPr>
              <w:t xml:space="preserve">No barriers identified, therefore activity will </w:t>
            </w:r>
            <w:r>
              <w:rPr>
                <w:b/>
                <w:bCs/>
                <w:color w:val="000000"/>
              </w:rPr>
              <w:t>proceed</w:t>
            </w:r>
            <w:r>
              <w:rPr>
                <w:color w:val="000000"/>
              </w:rPr>
              <w:t>.</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3562" w14:textId="77777777" w:rsidR="00921442" w:rsidRDefault="00921442">
            <w:pPr>
              <w:spacing w:line="240" w:lineRule="auto"/>
              <w:rPr>
                <w:b/>
                <w:bCs/>
                <w:color w:val="000000"/>
              </w:rPr>
            </w:pPr>
          </w:p>
        </w:tc>
        <w:tc>
          <w:tcPr>
            <w:tcW w:w="3889" w:type="dxa"/>
            <w:tcBorders>
              <w:top w:val="single" w:sz="4" w:space="0" w:color="000000"/>
              <w:left w:val="single" w:sz="4" w:space="0" w:color="000000"/>
              <w:bottom w:val="single" w:sz="4" w:space="0" w:color="000000"/>
            </w:tcBorders>
            <w:tcMar>
              <w:top w:w="0" w:type="dxa"/>
              <w:left w:w="108" w:type="dxa"/>
              <w:bottom w:w="0" w:type="dxa"/>
              <w:right w:w="108" w:type="dxa"/>
            </w:tcMar>
          </w:tcPr>
          <w:p w14:paraId="58323563" w14:textId="77777777" w:rsidR="00921442" w:rsidRDefault="00921442">
            <w:pPr>
              <w:spacing w:line="240" w:lineRule="auto"/>
              <w:rPr>
                <w:b/>
                <w:bCs/>
                <w:color w:val="000000"/>
              </w:rPr>
            </w:pPr>
          </w:p>
        </w:tc>
      </w:tr>
      <w:tr w:rsidR="00921442" w14:paraId="58323568" w14:textId="77777777">
        <w:tc>
          <w:tcPr>
            <w:tcW w:w="325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323565" w14:textId="77777777" w:rsidR="00921442" w:rsidRDefault="00BF0314">
            <w:pPr>
              <w:numPr>
                <w:ilvl w:val="0"/>
                <w:numId w:val="16"/>
              </w:numPr>
              <w:pBdr>
                <w:left w:val="none" w:sz="0" w:space="4" w:color="auto"/>
              </w:pBdr>
              <w:spacing w:line="240" w:lineRule="auto"/>
              <w:ind w:left="360"/>
              <w:rPr>
                <w:color w:val="000000"/>
              </w:rPr>
            </w:pPr>
            <w:r>
              <w:rPr>
                <w:color w:val="000000"/>
              </w:rPr>
              <w:t xml:space="preserve">You can decide to </w:t>
            </w:r>
            <w:r>
              <w:rPr>
                <w:b/>
                <w:bCs/>
                <w:color w:val="000000"/>
              </w:rPr>
              <w:t>stop</w:t>
            </w:r>
            <w:r>
              <w:rPr>
                <w:color w:val="000000"/>
              </w:rPr>
              <w:t xml:space="preserve"> the policy or practice at some point because the data shows bias towards one or more groups </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3566" w14:textId="77777777" w:rsidR="00921442" w:rsidRDefault="00921442">
            <w:pPr>
              <w:spacing w:line="240" w:lineRule="auto"/>
              <w:rPr>
                <w:b/>
                <w:bCs/>
                <w:color w:val="000000"/>
              </w:rPr>
            </w:pPr>
          </w:p>
        </w:tc>
        <w:tc>
          <w:tcPr>
            <w:tcW w:w="3889" w:type="dxa"/>
            <w:tcBorders>
              <w:top w:val="single" w:sz="4" w:space="0" w:color="000000"/>
              <w:left w:val="single" w:sz="4" w:space="0" w:color="000000"/>
              <w:bottom w:val="single" w:sz="4" w:space="0" w:color="000000"/>
            </w:tcBorders>
            <w:tcMar>
              <w:top w:w="0" w:type="dxa"/>
              <w:left w:w="108" w:type="dxa"/>
              <w:bottom w:w="0" w:type="dxa"/>
              <w:right w:w="108" w:type="dxa"/>
            </w:tcMar>
          </w:tcPr>
          <w:p w14:paraId="58323567" w14:textId="77777777" w:rsidR="00921442" w:rsidRDefault="00921442">
            <w:pPr>
              <w:spacing w:line="240" w:lineRule="auto"/>
              <w:rPr>
                <w:b/>
                <w:bCs/>
                <w:color w:val="000000"/>
              </w:rPr>
            </w:pPr>
          </w:p>
        </w:tc>
      </w:tr>
      <w:tr w:rsidR="00921442" w14:paraId="58323574" w14:textId="77777777">
        <w:tc>
          <w:tcPr>
            <w:tcW w:w="325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323569" w14:textId="77777777" w:rsidR="00921442" w:rsidRDefault="00BF0314">
            <w:pPr>
              <w:numPr>
                <w:ilvl w:val="0"/>
                <w:numId w:val="17"/>
              </w:numPr>
              <w:pBdr>
                <w:left w:val="none" w:sz="0" w:space="4" w:color="auto"/>
              </w:pBdr>
              <w:spacing w:line="240" w:lineRule="auto"/>
              <w:ind w:left="360"/>
              <w:rPr>
                <w:color w:val="000000"/>
              </w:rPr>
            </w:pPr>
            <w:r>
              <w:rPr>
                <w:color w:val="000000"/>
              </w:rPr>
              <w:t xml:space="preserve">You can </w:t>
            </w:r>
            <w:r>
              <w:rPr>
                <w:b/>
                <w:bCs/>
                <w:color w:val="000000"/>
              </w:rPr>
              <w:t xml:space="preserve">adapt or change </w:t>
            </w:r>
            <w:r>
              <w:rPr>
                <w:color w:val="000000"/>
              </w:rPr>
              <w:t>the policy in a way which you think will eliminate the bias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2356A" w14:textId="77777777" w:rsidR="00921442" w:rsidRDefault="00921442">
            <w:pPr>
              <w:spacing w:line="240" w:lineRule="auto"/>
              <w:rPr>
                <w:b/>
                <w:bCs/>
                <w:color w:val="000000"/>
              </w:rPr>
            </w:pPr>
          </w:p>
          <w:p w14:paraId="5832356B" w14:textId="77777777" w:rsidR="00921442" w:rsidRDefault="00BF0314">
            <w:pPr>
              <w:spacing w:line="240" w:lineRule="auto"/>
              <w:jc w:val="center"/>
              <w:rPr>
                <w:color w:val="000000"/>
              </w:rPr>
            </w:pPr>
            <w:r>
              <w:rPr>
                <w:color w:val="000000"/>
              </w:rPr>
              <w:t>X</w:t>
            </w:r>
          </w:p>
        </w:tc>
        <w:tc>
          <w:tcPr>
            <w:tcW w:w="3889"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6C" w14:textId="77777777" w:rsidR="00921442" w:rsidRDefault="00BF0314">
            <w:pPr>
              <w:spacing w:line="240" w:lineRule="auto"/>
              <w:rPr>
                <w:color w:val="000000"/>
              </w:rPr>
            </w:pPr>
            <w:r>
              <w:rPr>
                <w:color w:val="000000"/>
              </w:rPr>
              <w:t xml:space="preserve">The opportunity advertised through this funding opportunity has been designed to be flexible to accommodate diverse needs. </w:t>
            </w:r>
          </w:p>
          <w:p w14:paraId="5832356D" w14:textId="77777777" w:rsidR="00921442" w:rsidRDefault="00921442">
            <w:pPr>
              <w:spacing w:line="240" w:lineRule="auto"/>
              <w:rPr>
                <w:color w:val="000000"/>
              </w:rPr>
            </w:pPr>
          </w:p>
          <w:p w14:paraId="5832356E" w14:textId="77777777" w:rsidR="00921442" w:rsidRDefault="00BF0314">
            <w:pPr>
              <w:spacing w:line="240" w:lineRule="auto"/>
              <w:rPr>
                <w:color w:val="000000"/>
              </w:rPr>
            </w:pPr>
            <w:r>
              <w:rPr>
                <w:color w:val="000000"/>
              </w:rPr>
              <w:t xml:space="preserve">Possible barriers have been identified and activities have been adapted as far as possible. The scheme coordination and development team welcome engagement from the affected community to understand further barriers and will make reasonable adjustments where possible. </w:t>
            </w:r>
          </w:p>
          <w:p w14:paraId="5832356F" w14:textId="77777777" w:rsidR="00921442" w:rsidRDefault="00921442">
            <w:pPr>
              <w:spacing w:line="240" w:lineRule="auto"/>
              <w:rPr>
                <w:color w:val="000000"/>
              </w:rPr>
            </w:pPr>
          </w:p>
          <w:p w14:paraId="58323570" w14:textId="35A4E986" w:rsidR="00921442" w:rsidRDefault="00BF0314">
            <w:pPr>
              <w:spacing w:line="240" w:lineRule="auto"/>
              <w:rPr>
                <w:color w:val="000000"/>
              </w:rPr>
            </w:pPr>
            <w:r>
              <w:rPr>
                <w:color w:val="000000"/>
              </w:rPr>
              <w:t xml:space="preserve">The scheme coordination and development team will provide reasonable adjustments during the seven planned networking events if needed, and a separate EIA for events will </w:t>
            </w:r>
            <w:r w:rsidRPr="00D66C18">
              <w:t>be produced if attendees have specific needs.</w:t>
            </w:r>
          </w:p>
          <w:p w14:paraId="58323571" w14:textId="77777777" w:rsidR="00921442" w:rsidRDefault="00921442">
            <w:pPr>
              <w:spacing w:line="240" w:lineRule="auto"/>
              <w:rPr>
                <w:color w:val="000000"/>
              </w:rPr>
            </w:pPr>
          </w:p>
          <w:p w14:paraId="58323572" w14:textId="265A266C" w:rsidR="00921442" w:rsidRDefault="00BF0314">
            <w:pPr>
              <w:spacing w:line="240" w:lineRule="auto"/>
              <w:rPr>
                <w:color w:val="000000"/>
              </w:rPr>
            </w:pPr>
            <w:r>
              <w:rPr>
                <w:color w:val="000000"/>
              </w:rPr>
              <w:t xml:space="preserve">The Scheme Coordinator will review this EIA at </w:t>
            </w:r>
            <w:r w:rsidRPr="00D66C18">
              <w:t xml:space="preserve">quarterly intervals for the duration of the </w:t>
            </w:r>
            <w:r w:rsidR="00A92F87" w:rsidRPr="00D66C18">
              <w:t>project and</w:t>
            </w:r>
            <w:r w:rsidRPr="00D66C18">
              <w:t xml:space="preserve"> make adjustments where required</w:t>
            </w:r>
            <w:r w:rsidR="00D66C18">
              <w:t>.</w:t>
            </w:r>
          </w:p>
          <w:p w14:paraId="58323573" w14:textId="77777777" w:rsidR="00921442" w:rsidRDefault="00921442">
            <w:pPr>
              <w:spacing w:line="240" w:lineRule="auto"/>
              <w:rPr>
                <w:color w:val="000000"/>
              </w:rPr>
            </w:pPr>
          </w:p>
        </w:tc>
      </w:tr>
      <w:tr w:rsidR="00921442" w14:paraId="58323578" w14:textId="77777777">
        <w:tc>
          <w:tcPr>
            <w:tcW w:w="3256" w:type="dxa"/>
            <w:tcBorders>
              <w:top w:val="single" w:sz="4" w:space="0" w:color="000000"/>
              <w:right w:val="single" w:sz="4" w:space="0" w:color="000000"/>
            </w:tcBorders>
            <w:tcMar>
              <w:top w:w="0" w:type="dxa"/>
              <w:left w:w="108" w:type="dxa"/>
              <w:bottom w:w="0" w:type="dxa"/>
              <w:right w:w="108" w:type="dxa"/>
            </w:tcMar>
            <w:hideMark/>
          </w:tcPr>
          <w:p w14:paraId="58323575" w14:textId="77777777" w:rsidR="00921442" w:rsidRDefault="00BF0314">
            <w:pPr>
              <w:numPr>
                <w:ilvl w:val="0"/>
                <w:numId w:val="18"/>
              </w:numPr>
              <w:pBdr>
                <w:left w:val="none" w:sz="0" w:space="4" w:color="auto"/>
              </w:pBdr>
              <w:spacing w:line="240" w:lineRule="auto"/>
              <w:ind w:left="360"/>
              <w:rPr>
                <w:color w:val="000000"/>
              </w:rPr>
            </w:pPr>
            <w:r>
              <w:rPr>
                <w:color w:val="000000"/>
              </w:rPr>
              <w:lastRenderedPageBreak/>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Pr>
                <w:b/>
                <w:bCs/>
                <w:color w:val="000000"/>
              </w:rPr>
              <w:t>proceed with caution</w:t>
            </w:r>
            <w:r>
              <w:rPr>
                <w:color w:val="000000"/>
              </w:rPr>
              <w:t xml:space="preserve"> with this policy or practice knowing that it may favour some people less than others, providing justification for this decision.</w:t>
            </w:r>
          </w:p>
        </w:tc>
        <w:tc>
          <w:tcPr>
            <w:tcW w:w="2097" w:type="dxa"/>
            <w:tcBorders>
              <w:top w:val="single" w:sz="4" w:space="0" w:color="000000"/>
              <w:left w:val="single" w:sz="4" w:space="0" w:color="000000"/>
              <w:right w:val="single" w:sz="4" w:space="0" w:color="000000"/>
            </w:tcBorders>
            <w:tcMar>
              <w:top w:w="0" w:type="dxa"/>
              <w:left w:w="108" w:type="dxa"/>
              <w:bottom w:w="0" w:type="dxa"/>
              <w:right w:w="108" w:type="dxa"/>
            </w:tcMar>
          </w:tcPr>
          <w:p w14:paraId="58323576" w14:textId="77777777" w:rsidR="00921442" w:rsidRDefault="00921442">
            <w:pPr>
              <w:spacing w:line="240" w:lineRule="auto"/>
              <w:rPr>
                <w:b/>
                <w:bCs/>
                <w:color w:val="000000"/>
              </w:rPr>
            </w:pPr>
          </w:p>
        </w:tc>
        <w:tc>
          <w:tcPr>
            <w:tcW w:w="3889" w:type="dxa"/>
            <w:tcBorders>
              <w:top w:val="single" w:sz="4" w:space="0" w:color="000000"/>
              <w:left w:val="single" w:sz="4" w:space="0" w:color="000000"/>
            </w:tcBorders>
            <w:tcMar>
              <w:top w:w="0" w:type="dxa"/>
              <w:left w:w="108" w:type="dxa"/>
              <w:bottom w:w="0" w:type="dxa"/>
              <w:right w:w="108" w:type="dxa"/>
            </w:tcMar>
          </w:tcPr>
          <w:p w14:paraId="58323577" w14:textId="77777777" w:rsidR="00921442" w:rsidRDefault="00921442">
            <w:pPr>
              <w:spacing w:line="240" w:lineRule="auto"/>
              <w:rPr>
                <w:b/>
                <w:bCs/>
                <w:color w:val="000000"/>
              </w:rPr>
            </w:pPr>
          </w:p>
        </w:tc>
      </w:tr>
    </w:tbl>
    <w:p w14:paraId="58323579" w14:textId="77777777" w:rsidR="00921442" w:rsidRDefault="009214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08"/>
        <w:gridCol w:w="4508"/>
      </w:tblGrid>
      <w:tr w:rsidR="00921442" w14:paraId="5832357E" w14:textId="77777777">
        <w:tc>
          <w:tcPr>
            <w:tcW w:w="4621" w:type="dxa"/>
            <w:tcBorders>
              <w:bottom w:val="single" w:sz="4" w:space="0" w:color="000000"/>
              <w:right w:val="single" w:sz="4" w:space="0" w:color="000000"/>
            </w:tcBorders>
            <w:shd w:val="clear" w:color="auto" w:fill="C6D9F0"/>
            <w:tcMar>
              <w:top w:w="0" w:type="dxa"/>
              <w:left w:w="108" w:type="dxa"/>
              <w:bottom w:w="0" w:type="dxa"/>
              <w:right w:w="108" w:type="dxa"/>
            </w:tcMar>
            <w:hideMark/>
          </w:tcPr>
          <w:p w14:paraId="5832357A" w14:textId="77777777" w:rsidR="00921442" w:rsidRDefault="00BF0314">
            <w:pPr>
              <w:spacing w:line="240" w:lineRule="auto"/>
              <w:rPr>
                <w:color w:val="000000"/>
              </w:rPr>
            </w:pPr>
            <w:r>
              <w:rPr>
                <w:b/>
                <w:bCs/>
                <w:color w:val="000000"/>
              </w:rPr>
              <w:t>Will this EIA be published* Yes/Not required</w:t>
            </w:r>
          </w:p>
          <w:p w14:paraId="5832357B" w14:textId="39934366" w:rsidR="00921442" w:rsidRDefault="00BF0314">
            <w:pPr>
              <w:spacing w:line="240" w:lineRule="auto"/>
              <w:rPr>
                <w:color w:val="000000"/>
              </w:rPr>
            </w:pPr>
            <w:r>
              <w:rPr>
                <w:color w:val="000000"/>
              </w:rPr>
              <w:t xml:space="preserve">(*EIA’s should be published alongside relevant funding activities e.g. funding opportunity and events) </w:t>
            </w:r>
          </w:p>
          <w:p w14:paraId="5832357C" w14:textId="77777777" w:rsidR="00921442" w:rsidRDefault="00921442">
            <w:pPr>
              <w:spacing w:line="240" w:lineRule="auto"/>
              <w:rPr>
                <w:b/>
                <w:bCs/>
                <w:color w:val="000000"/>
              </w:rPr>
            </w:pPr>
          </w:p>
        </w:tc>
        <w:tc>
          <w:tcPr>
            <w:tcW w:w="4621" w:type="dxa"/>
            <w:tcBorders>
              <w:left w:val="single" w:sz="4" w:space="0" w:color="000000"/>
              <w:bottom w:val="single" w:sz="4" w:space="0" w:color="000000"/>
            </w:tcBorders>
            <w:tcMar>
              <w:top w:w="0" w:type="dxa"/>
              <w:left w:w="108" w:type="dxa"/>
              <w:bottom w:w="0" w:type="dxa"/>
              <w:right w:w="108" w:type="dxa"/>
            </w:tcMar>
            <w:hideMark/>
          </w:tcPr>
          <w:p w14:paraId="5832357D" w14:textId="77777777" w:rsidR="00921442" w:rsidRDefault="00BF0314">
            <w:pPr>
              <w:spacing w:line="240" w:lineRule="auto"/>
              <w:rPr>
                <w:color w:val="000000"/>
              </w:rPr>
            </w:pPr>
            <w:r>
              <w:rPr>
                <w:b/>
                <w:bCs/>
                <w:color w:val="000000"/>
              </w:rPr>
              <w:t>Yes</w:t>
            </w:r>
          </w:p>
        </w:tc>
      </w:tr>
      <w:tr w:rsidR="00921442" w14:paraId="58323582" w14:textId="77777777">
        <w:tc>
          <w:tcPr>
            <w:tcW w:w="4621" w:type="dxa"/>
            <w:tcBorders>
              <w:top w:val="single" w:sz="4" w:space="0" w:color="000000"/>
              <w:bottom w:val="single" w:sz="4" w:space="0" w:color="000000"/>
              <w:right w:val="single" w:sz="4" w:space="0" w:color="000000"/>
            </w:tcBorders>
            <w:shd w:val="clear" w:color="auto" w:fill="C6D9F0"/>
            <w:tcMar>
              <w:top w:w="0" w:type="dxa"/>
              <w:left w:w="108" w:type="dxa"/>
              <w:bottom w:w="0" w:type="dxa"/>
              <w:right w:w="108" w:type="dxa"/>
            </w:tcMar>
            <w:hideMark/>
          </w:tcPr>
          <w:p w14:paraId="5832357F" w14:textId="77777777" w:rsidR="00921442" w:rsidRDefault="00BF0314">
            <w:pPr>
              <w:spacing w:line="240" w:lineRule="auto"/>
              <w:rPr>
                <w:color w:val="000000"/>
              </w:rPr>
            </w:pPr>
            <w:r>
              <w:rPr>
                <w:b/>
                <w:bCs/>
                <w:color w:val="000000"/>
              </w:rPr>
              <w:t xml:space="preserve">Date completed: </w:t>
            </w:r>
          </w:p>
          <w:p w14:paraId="58323580" w14:textId="77777777" w:rsidR="00921442" w:rsidRDefault="00921442">
            <w:pPr>
              <w:spacing w:line="240" w:lineRule="auto"/>
              <w:rPr>
                <w:b/>
                <w:bCs/>
                <w:color w:val="000000"/>
              </w:rPr>
            </w:pPr>
          </w:p>
        </w:tc>
        <w:tc>
          <w:tcPr>
            <w:tcW w:w="4621"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8323581" w14:textId="7130DF56" w:rsidR="00921442" w:rsidRDefault="007303AD">
            <w:pPr>
              <w:spacing w:line="240" w:lineRule="auto"/>
              <w:rPr>
                <w:color w:val="000000"/>
              </w:rPr>
            </w:pPr>
            <w:r>
              <w:rPr>
                <w:color w:val="000000"/>
              </w:rPr>
              <w:t>19</w:t>
            </w:r>
            <w:r w:rsidR="00BF0314">
              <w:rPr>
                <w:color w:val="000000"/>
              </w:rPr>
              <w:t>/10/2022</w:t>
            </w:r>
          </w:p>
        </w:tc>
      </w:tr>
      <w:tr w:rsidR="00921442" w14:paraId="58323586" w14:textId="77777777">
        <w:tc>
          <w:tcPr>
            <w:tcW w:w="4621" w:type="dxa"/>
            <w:tcBorders>
              <w:top w:val="single" w:sz="4" w:space="0" w:color="000000"/>
              <w:right w:val="single" w:sz="4" w:space="0" w:color="000000"/>
            </w:tcBorders>
            <w:shd w:val="clear" w:color="auto" w:fill="C6D9F0"/>
            <w:tcMar>
              <w:top w:w="0" w:type="dxa"/>
              <w:left w:w="108" w:type="dxa"/>
              <w:bottom w:w="0" w:type="dxa"/>
              <w:right w:w="108" w:type="dxa"/>
            </w:tcMar>
            <w:hideMark/>
          </w:tcPr>
          <w:p w14:paraId="58323583" w14:textId="77777777" w:rsidR="00921442" w:rsidRDefault="00BF0314">
            <w:pPr>
              <w:spacing w:line="240" w:lineRule="auto"/>
              <w:rPr>
                <w:color w:val="000000"/>
              </w:rPr>
            </w:pPr>
            <w:r>
              <w:rPr>
                <w:b/>
                <w:bCs/>
                <w:color w:val="000000"/>
              </w:rPr>
              <w:t xml:space="preserve">Review date </w:t>
            </w:r>
            <w:r>
              <w:rPr>
                <w:color w:val="000000"/>
              </w:rPr>
              <w:t>(if applicable):</w:t>
            </w:r>
            <w:r>
              <w:rPr>
                <w:b/>
                <w:bCs/>
                <w:color w:val="000000"/>
              </w:rPr>
              <w:t xml:space="preserve"> </w:t>
            </w:r>
          </w:p>
          <w:p w14:paraId="58323584" w14:textId="77777777" w:rsidR="00921442" w:rsidRDefault="00921442">
            <w:pPr>
              <w:spacing w:line="240" w:lineRule="auto"/>
              <w:rPr>
                <w:b/>
                <w:bCs/>
                <w:color w:val="000000"/>
              </w:rPr>
            </w:pPr>
          </w:p>
        </w:tc>
        <w:tc>
          <w:tcPr>
            <w:tcW w:w="4621" w:type="dxa"/>
            <w:tcBorders>
              <w:top w:val="single" w:sz="4" w:space="0" w:color="000000"/>
              <w:left w:val="single" w:sz="4" w:space="0" w:color="000000"/>
            </w:tcBorders>
            <w:tcMar>
              <w:top w:w="0" w:type="dxa"/>
              <w:left w:w="108" w:type="dxa"/>
              <w:bottom w:w="0" w:type="dxa"/>
              <w:right w:w="108" w:type="dxa"/>
            </w:tcMar>
            <w:hideMark/>
          </w:tcPr>
          <w:p w14:paraId="58323585" w14:textId="77777777" w:rsidR="00921442" w:rsidRDefault="00BF0314">
            <w:pPr>
              <w:spacing w:line="240" w:lineRule="auto"/>
              <w:rPr>
                <w:color w:val="000000"/>
              </w:rPr>
            </w:pPr>
            <w:r>
              <w:rPr>
                <w:b/>
                <w:bCs/>
                <w:color w:val="000000"/>
              </w:rPr>
              <w:t>N/A</w:t>
            </w:r>
          </w:p>
        </w:tc>
      </w:tr>
    </w:tbl>
    <w:p w14:paraId="58323587" w14:textId="77777777" w:rsidR="00921442" w:rsidRDefault="00921442">
      <w:pPr>
        <w:rPr>
          <w:b/>
          <w:bCs/>
          <w:sz w:val="24"/>
          <w:szCs w:val="24"/>
        </w:rPr>
      </w:pPr>
      <w:bookmarkStart w:id="1" w:name="_Toc486610135"/>
    </w:p>
    <w:p w14:paraId="58323588" w14:textId="77777777" w:rsidR="00921442" w:rsidRDefault="00921442">
      <w:pPr>
        <w:rPr>
          <w:b/>
          <w:bCs/>
          <w:sz w:val="24"/>
          <w:szCs w:val="24"/>
        </w:rPr>
      </w:pPr>
    </w:p>
    <w:p w14:paraId="58323589" w14:textId="77777777" w:rsidR="00921442" w:rsidRDefault="00BF0314">
      <w:r>
        <w:rPr>
          <w:b/>
          <w:bCs/>
        </w:rPr>
        <w:t>Change log</w:t>
      </w:r>
      <w:bookmarkEnd w:id="1"/>
      <w:r>
        <w:rPr>
          <w:b/>
          <w:bCs/>
        </w:rPr>
        <w:t>/version control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88"/>
        <w:gridCol w:w="1278"/>
        <w:gridCol w:w="1051"/>
        <w:gridCol w:w="3999"/>
      </w:tblGrid>
      <w:tr w:rsidR="00921442" w14:paraId="5832358E" w14:textId="77777777">
        <w:trPr>
          <w:tblHeader/>
          <w:jc w:val="center"/>
        </w:trPr>
        <w:tc>
          <w:tcPr>
            <w:tcW w:w="1491" w:type="pct"/>
            <w:tcBorders>
              <w:bottom w:val="single" w:sz="4" w:space="0" w:color="000000"/>
              <w:right w:val="single" w:sz="4" w:space="0" w:color="000000"/>
            </w:tcBorders>
            <w:shd w:val="clear" w:color="auto" w:fill="C6D9F0"/>
            <w:tcMar>
              <w:top w:w="86" w:type="dxa"/>
              <w:left w:w="108" w:type="dxa"/>
              <w:bottom w:w="86" w:type="dxa"/>
              <w:right w:w="108" w:type="dxa"/>
            </w:tcMar>
            <w:hideMark/>
          </w:tcPr>
          <w:p w14:paraId="5832358A" w14:textId="77777777" w:rsidR="00921442" w:rsidRDefault="00BF0314">
            <w:pPr>
              <w:spacing w:line="240" w:lineRule="auto"/>
              <w:rPr>
                <w:color w:val="000000"/>
              </w:rPr>
            </w:pPr>
            <w:r>
              <w:rPr>
                <w:b/>
                <w:bCs/>
                <w:color w:val="000000"/>
              </w:rPr>
              <w:lastRenderedPageBreak/>
              <w:t>Name</w:t>
            </w:r>
          </w:p>
        </w:tc>
        <w:tc>
          <w:tcPr>
            <w:tcW w:w="708" w:type="pct"/>
            <w:tcBorders>
              <w:left w:val="single" w:sz="4" w:space="0" w:color="000000"/>
              <w:bottom w:val="single" w:sz="4" w:space="0" w:color="000000"/>
              <w:right w:val="single" w:sz="4" w:space="0" w:color="000000"/>
            </w:tcBorders>
            <w:shd w:val="clear" w:color="auto" w:fill="C6D9F0"/>
            <w:tcMar>
              <w:top w:w="86" w:type="dxa"/>
              <w:left w:w="108" w:type="dxa"/>
              <w:bottom w:w="86" w:type="dxa"/>
              <w:right w:w="108" w:type="dxa"/>
            </w:tcMar>
            <w:hideMark/>
          </w:tcPr>
          <w:p w14:paraId="5832358B" w14:textId="77777777" w:rsidR="00921442" w:rsidRDefault="00BF0314">
            <w:pPr>
              <w:spacing w:line="240" w:lineRule="auto"/>
              <w:rPr>
                <w:color w:val="000000"/>
              </w:rPr>
            </w:pPr>
            <w:r>
              <w:rPr>
                <w:b/>
                <w:bCs/>
                <w:color w:val="000000"/>
              </w:rPr>
              <w:t>Date</w:t>
            </w:r>
          </w:p>
        </w:tc>
        <w:tc>
          <w:tcPr>
            <w:tcW w:w="583" w:type="pct"/>
            <w:tcBorders>
              <w:left w:val="single" w:sz="4" w:space="0" w:color="000000"/>
              <w:bottom w:val="single" w:sz="4" w:space="0" w:color="000000"/>
              <w:right w:val="single" w:sz="4" w:space="0" w:color="000000"/>
            </w:tcBorders>
            <w:shd w:val="clear" w:color="auto" w:fill="C6D9F0"/>
            <w:tcMar>
              <w:top w:w="86" w:type="dxa"/>
              <w:left w:w="108" w:type="dxa"/>
              <w:bottom w:w="86" w:type="dxa"/>
              <w:right w:w="108" w:type="dxa"/>
            </w:tcMar>
            <w:hideMark/>
          </w:tcPr>
          <w:p w14:paraId="5832358C" w14:textId="77777777" w:rsidR="00921442" w:rsidRDefault="00BF0314">
            <w:pPr>
              <w:spacing w:line="240" w:lineRule="auto"/>
              <w:rPr>
                <w:color w:val="000000"/>
              </w:rPr>
            </w:pPr>
            <w:r>
              <w:rPr>
                <w:b/>
                <w:bCs/>
                <w:color w:val="000000"/>
              </w:rPr>
              <w:t>Version</w:t>
            </w:r>
          </w:p>
        </w:tc>
        <w:tc>
          <w:tcPr>
            <w:tcW w:w="2218" w:type="pct"/>
            <w:tcBorders>
              <w:left w:val="single" w:sz="4" w:space="0" w:color="000000"/>
              <w:bottom w:val="single" w:sz="4" w:space="0" w:color="000000"/>
            </w:tcBorders>
            <w:shd w:val="clear" w:color="auto" w:fill="C6D9F0"/>
            <w:tcMar>
              <w:top w:w="86" w:type="dxa"/>
              <w:left w:w="108" w:type="dxa"/>
              <w:bottom w:w="86" w:type="dxa"/>
              <w:right w:w="108" w:type="dxa"/>
            </w:tcMar>
            <w:hideMark/>
          </w:tcPr>
          <w:p w14:paraId="5832358D" w14:textId="77777777" w:rsidR="00921442" w:rsidRDefault="00BF0314">
            <w:pPr>
              <w:spacing w:line="240" w:lineRule="auto"/>
              <w:rPr>
                <w:color w:val="000000"/>
              </w:rPr>
            </w:pPr>
            <w:r>
              <w:rPr>
                <w:b/>
                <w:bCs/>
                <w:color w:val="000000"/>
              </w:rPr>
              <w:t>Change</w:t>
            </w:r>
          </w:p>
        </w:tc>
      </w:tr>
      <w:tr w:rsidR="00921442" w14:paraId="58323593" w14:textId="77777777">
        <w:trPr>
          <w:jc w:val="center"/>
        </w:trPr>
        <w:tc>
          <w:tcPr>
            <w:tcW w:w="1491" w:type="pct"/>
            <w:tcBorders>
              <w:top w:val="single" w:sz="4" w:space="0" w:color="000000"/>
              <w:right w:val="single" w:sz="4" w:space="0" w:color="000000"/>
            </w:tcBorders>
            <w:tcMar>
              <w:top w:w="86" w:type="dxa"/>
              <w:left w:w="108" w:type="dxa"/>
              <w:bottom w:w="86" w:type="dxa"/>
              <w:right w:w="108" w:type="dxa"/>
            </w:tcMar>
            <w:hideMark/>
          </w:tcPr>
          <w:p w14:paraId="5832358F" w14:textId="44BCB01C" w:rsidR="00921442" w:rsidRDefault="00BF0314">
            <w:pPr>
              <w:spacing w:line="240" w:lineRule="auto"/>
              <w:rPr>
                <w:color w:val="000000"/>
              </w:rPr>
            </w:pPr>
            <w:r>
              <w:rPr>
                <w:color w:val="000000"/>
              </w:rPr>
              <w:t>Dr Oliver Cox on behalf of the Cohort Coordination and Development Team.</w:t>
            </w:r>
          </w:p>
        </w:tc>
        <w:tc>
          <w:tcPr>
            <w:tcW w:w="708" w:type="pct"/>
            <w:tcBorders>
              <w:top w:val="single" w:sz="4" w:space="0" w:color="000000"/>
              <w:left w:val="single" w:sz="4" w:space="0" w:color="000000"/>
              <w:right w:val="single" w:sz="4" w:space="0" w:color="000000"/>
            </w:tcBorders>
            <w:tcMar>
              <w:top w:w="86" w:type="dxa"/>
              <w:left w:w="108" w:type="dxa"/>
              <w:bottom w:w="86" w:type="dxa"/>
              <w:right w:w="108" w:type="dxa"/>
            </w:tcMar>
            <w:hideMark/>
          </w:tcPr>
          <w:p w14:paraId="58323590" w14:textId="1E782673" w:rsidR="00921442" w:rsidRDefault="00BF0314">
            <w:pPr>
              <w:spacing w:line="240" w:lineRule="auto"/>
              <w:rPr>
                <w:color w:val="000000"/>
              </w:rPr>
            </w:pPr>
            <w:r>
              <w:rPr>
                <w:color w:val="000000"/>
              </w:rPr>
              <w:t>19/10/2022</w:t>
            </w:r>
          </w:p>
        </w:tc>
        <w:tc>
          <w:tcPr>
            <w:tcW w:w="583" w:type="pct"/>
            <w:tcBorders>
              <w:top w:val="single" w:sz="4" w:space="0" w:color="000000"/>
              <w:left w:val="single" w:sz="4" w:space="0" w:color="000000"/>
              <w:right w:val="single" w:sz="4" w:space="0" w:color="000000"/>
            </w:tcBorders>
            <w:tcMar>
              <w:top w:w="86" w:type="dxa"/>
              <w:left w:w="108" w:type="dxa"/>
              <w:bottom w:w="86" w:type="dxa"/>
              <w:right w:w="108" w:type="dxa"/>
            </w:tcMar>
            <w:hideMark/>
          </w:tcPr>
          <w:p w14:paraId="58323591" w14:textId="77777777" w:rsidR="00921442" w:rsidRDefault="00BF0314">
            <w:pPr>
              <w:spacing w:line="240" w:lineRule="auto"/>
              <w:rPr>
                <w:color w:val="000000"/>
              </w:rPr>
            </w:pPr>
            <w:r>
              <w:rPr>
                <w:color w:val="000000"/>
              </w:rPr>
              <w:t>1</w:t>
            </w:r>
          </w:p>
        </w:tc>
        <w:tc>
          <w:tcPr>
            <w:tcW w:w="2218" w:type="pct"/>
            <w:tcBorders>
              <w:top w:val="single" w:sz="4" w:space="0" w:color="000000"/>
              <w:left w:val="single" w:sz="4" w:space="0" w:color="000000"/>
            </w:tcBorders>
            <w:tcMar>
              <w:top w:w="86" w:type="dxa"/>
              <w:left w:w="108" w:type="dxa"/>
              <w:bottom w:w="86" w:type="dxa"/>
              <w:right w:w="108" w:type="dxa"/>
            </w:tcMar>
            <w:hideMark/>
          </w:tcPr>
          <w:p w14:paraId="58323592" w14:textId="77777777" w:rsidR="00921442" w:rsidRDefault="00BF0314">
            <w:pPr>
              <w:spacing w:line="240" w:lineRule="auto"/>
              <w:rPr>
                <w:color w:val="000000"/>
              </w:rPr>
            </w:pPr>
            <w:r>
              <w:rPr>
                <w:color w:val="000000"/>
              </w:rPr>
              <w:t>First publication</w:t>
            </w:r>
          </w:p>
        </w:tc>
      </w:tr>
    </w:tbl>
    <w:p w14:paraId="58323594" w14:textId="77777777" w:rsidR="00921442" w:rsidRDefault="00921442">
      <w:pPr>
        <w:spacing w:after="200"/>
        <w:rPr>
          <w:b/>
          <w:bCs/>
          <w:sz w:val="24"/>
          <w:szCs w:val="24"/>
        </w:rPr>
      </w:pPr>
    </w:p>
    <w:sectPr w:rsidR="00921442">
      <w:headerReference w:type="default" r:id="rId12"/>
      <w:footerReference w:type="default" r:id="rId13"/>
      <w:pgSz w:w="11906" w:h="16838"/>
      <w:pgMar w:top="1276"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235B3" w14:textId="77777777" w:rsidR="00F742E6" w:rsidRDefault="00BF0314">
      <w:pPr>
        <w:spacing w:line="240" w:lineRule="auto"/>
      </w:pPr>
      <w:r>
        <w:separator/>
      </w:r>
    </w:p>
  </w:endnote>
  <w:endnote w:type="continuationSeparator" w:id="0">
    <w:p w14:paraId="583235B5" w14:textId="77777777" w:rsidR="00F742E6" w:rsidRDefault="00BF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35AE" w14:textId="77777777" w:rsidR="00921442" w:rsidRDefault="00921442">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235AF" w14:textId="77777777" w:rsidR="00F742E6" w:rsidRDefault="00BF0314">
      <w:pPr>
        <w:spacing w:line="240" w:lineRule="auto"/>
      </w:pPr>
      <w:r>
        <w:separator/>
      </w:r>
    </w:p>
  </w:footnote>
  <w:footnote w:type="continuationSeparator" w:id="0">
    <w:p w14:paraId="583235B1" w14:textId="77777777" w:rsidR="00F742E6" w:rsidRDefault="00BF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35AD" w14:textId="77777777" w:rsidR="00921442" w:rsidRDefault="00921442">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DD64D97E">
      <w:start w:val="1"/>
      <w:numFmt w:val="bullet"/>
      <w:lvlText w:val=""/>
      <w:lvlJc w:val="left"/>
      <w:pPr>
        <w:ind w:left="720" w:hanging="360"/>
      </w:pPr>
      <w:rPr>
        <w:rFonts w:ascii="Symbol" w:hAnsi="Symbol"/>
        <w:b w:val="0"/>
        <w:bCs w:val="0"/>
      </w:rPr>
    </w:lvl>
    <w:lvl w:ilvl="1" w:tplc="30E29F06">
      <w:start w:val="1"/>
      <w:numFmt w:val="bullet"/>
      <w:lvlText w:val="o"/>
      <w:lvlJc w:val="left"/>
      <w:pPr>
        <w:tabs>
          <w:tab w:val="num" w:pos="1440"/>
        </w:tabs>
        <w:ind w:left="1440" w:hanging="360"/>
      </w:pPr>
      <w:rPr>
        <w:rFonts w:ascii="Courier New" w:hAnsi="Courier New"/>
      </w:rPr>
    </w:lvl>
    <w:lvl w:ilvl="2" w:tplc="29BC884C">
      <w:start w:val="1"/>
      <w:numFmt w:val="bullet"/>
      <w:lvlText w:val=""/>
      <w:lvlJc w:val="left"/>
      <w:pPr>
        <w:tabs>
          <w:tab w:val="num" w:pos="2160"/>
        </w:tabs>
        <w:ind w:left="2160" w:hanging="360"/>
      </w:pPr>
      <w:rPr>
        <w:rFonts w:ascii="Wingdings" w:hAnsi="Wingdings"/>
      </w:rPr>
    </w:lvl>
    <w:lvl w:ilvl="3" w:tplc="64DEF81C">
      <w:start w:val="1"/>
      <w:numFmt w:val="bullet"/>
      <w:lvlText w:val=""/>
      <w:lvlJc w:val="left"/>
      <w:pPr>
        <w:tabs>
          <w:tab w:val="num" w:pos="2880"/>
        </w:tabs>
        <w:ind w:left="2880" w:hanging="360"/>
      </w:pPr>
      <w:rPr>
        <w:rFonts w:ascii="Symbol" w:hAnsi="Symbol"/>
      </w:rPr>
    </w:lvl>
    <w:lvl w:ilvl="4" w:tplc="CB0E6EF4">
      <w:start w:val="1"/>
      <w:numFmt w:val="bullet"/>
      <w:lvlText w:val="o"/>
      <w:lvlJc w:val="left"/>
      <w:pPr>
        <w:tabs>
          <w:tab w:val="num" w:pos="3600"/>
        </w:tabs>
        <w:ind w:left="3600" w:hanging="360"/>
      </w:pPr>
      <w:rPr>
        <w:rFonts w:ascii="Courier New" w:hAnsi="Courier New"/>
      </w:rPr>
    </w:lvl>
    <w:lvl w:ilvl="5" w:tplc="E98883A4">
      <w:start w:val="1"/>
      <w:numFmt w:val="bullet"/>
      <w:lvlText w:val=""/>
      <w:lvlJc w:val="left"/>
      <w:pPr>
        <w:tabs>
          <w:tab w:val="num" w:pos="4320"/>
        </w:tabs>
        <w:ind w:left="4320" w:hanging="360"/>
      </w:pPr>
      <w:rPr>
        <w:rFonts w:ascii="Wingdings" w:hAnsi="Wingdings"/>
      </w:rPr>
    </w:lvl>
    <w:lvl w:ilvl="6" w:tplc="ADE481F4">
      <w:start w:val="1"/>
      <w:numFmt w:val="bullet"/>
      <w:lvlText w:val=""/>
      <w:lvlJc w:val="left"/>
      <w:pPr>
        <w:tabs>
          <w:tab w:val="num" w:pos="5040"/>
        </w:tabs>
        <w:ind w:left="5040" w:hanging="360"/>
      </w:pPr>
      <w:rPr>
        <w:rFonts w:ascii="Symbol" w:hAnsi="Symbol"/>
      </w:rPr>
    </w:lvl>
    <w:lvl w:ilvl="7" w:tplc="DBCE2C2C">
      <w:start w:val="1"/>
      <w:numFmt w:val="bullet"/>
      <w:lvlText w:val="o"/>
      <w:lvlJc w:val="left"/>
      <w:pPr>
        <w:tabs>
          <w:tab w:val="num" w:pos="5760"/>
        </w:tabs>
        <w:ind w:left="5760" w:hanging="360"/>
      </w:pPr>
      <w:rPr>
        <w:rFonts w:ascii="Courier New" w:hAnsi="Courier New"/>
      </w:rPr>
    </w:lvl>
    <w:lvl w:ilvl="8" w:tplc="E18A054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lvl w:ilvl="0" w:tplc="11CAB312">
      <w:start w:val="1"/>
      <w:numFmt w:val="bullet"/>
      <w:lvlText w:val=""/>
      <w:lvlJc w:val="left"/>
      <w:pPr>
        <w:ind w:left="720" w:hanging="360"/>
      </w:pPr>
      <w:rPr>
        <w:rFonts w:ascii="Symbol" w:hAnsi="Symbol"/>
        <w:b w:val="0"/>
        <w:bCs w:val="0"/>
      </w:rPr>
    </w:lvl>
    <w:lvl w:ilvl="1" w:tplc="2A964428">
      <w:start w:val="1"/>
      <w:numFmt w:val="bullet"/>
      <w:lvlText w:val="o"/>
      <w:lvlJc w:val="left"/>
      <w:pPr>
        <w:tabs>
          <w:tab w:val="num" w:pos="1440"/>
        </w:tabs>
        <w:ind w:left="1440" w:hanging="360"/>
      </w:pPr>
      <w:rPr>
        <w:rFonts w:ascii="Courier New" w:hAnsi="Courier New"/>
      </w:rPr>
    </w:lvl>
    <w:lvl w:ilvl="2" w:tplc="FD38D0D0">
      <w:start w:val="1"/>
      <w:numFmt w:val="bullet"/>
      <w:lvlText w:val=""/>
      <w:lvlJc w:val="left"/>
      <w:pPr>
        <w:tabs>
          <w:tab w:val="num" w:pos="2160"/>
        </w:tabs>
        <w:ind w:left="2160" w:hanging="360"/>
      </w:pPr>
      <w:rPr>
        <w:rFonts w:ascii="Wingdings" w:hAnsi="Wingdings"/>
      </w:rPr>
    </w:lvl>
    <w:lvl w:ilvl="3" w:tplc="77E4ED66">
      <w:start w:val="1"/>
      <w:numFmt w:val="bullet"/>
      <w:lvlText w:val=""/>
      <w:lvlJc w:val="left"/>
      <w:pPr>
        <w:tabs>
          <w:tab w:val="num" w:pos="2880"/>
        </w:tabs>
        <w:ind w:left="2880" w:hanging="360"/>
      </w:pPr>
      <w:rPr>
        <w:rFonts w:ascii="Symbol" w:hAnsi="Symbol"/>
      </w:rPr>
    </w:lvl>
    <w:lvl w:ilvl="4" w:tplc="E1620EFA">
      <w:start w:val="1"/>
      <w:numFmt w:val="bullet"/>
      <w:lvlText w:val="o"/>
      <w:lvlJc w:val="left"/>
      <w:pPr>
        <w:tabs>
          <w:tab w:val="num" w:pos="3600"/>
        </w:tabs>
        <w:ind w:left="3600" w:hanging="360"/>
      </w:pPr>
      <w:rPr>
        <w:rFonts w:ascii="Courier New" w:hAnsi="Courier New"/>
      </w:rPr>
    </w:lvl>
    <w:lvl w:ilvl="5" w:tplc="F692F258">
      <w:start w:val="1"/>
      <w:numFmt w:val="bullet"/>
      <w:lvlText w:val=""/>
      <w:lvlJc w:val="left"/>
      <w:pPr>
        <w:tabs>
          <w:tab w:val="num" w:pos="4320"/>
        </w:tabs>
        <w:ind w:left="4320" w:hanging="360"/>
      </w:pPr>
      <w:rPr>
        <w:rFonts w:ascii="Wingdings" w:hAnsi="Wingdings"/>
      </w:rPr>
    </w:lvl>
    <w:lvl w:ilvl="6" w:tplc="C278011C">
      <w:start w:val="1"/>
      <w:numFmt w:val="bullet"/>
      <w:lvlText w:val=""/>
      <w:lvlJc w:val="left"/>
      <w:pPr>
        <w:tabs>
          <w:tab w:val="num" w:pos="5040"/>
        </w:tabs>
        <w:ind w:left="5040" w:hanging="360"/>
      </w:pPr>
      <w:rPr>
        <w:rFonts w:ascii="Symbol" w:hAnsi="Symbol"/>
      </w:rPr>
    </w:lvl>
    <w:lvl w:ilvl="7" w:tplc="0D909136">
      <w:start w:val="1"/>
      <w:numFmt w:val="bullet"/>
      <w:lvlText w:val="o"/>
      <w:lvlJc w:val="left"/>
      <w:pPr>
        <w:tabs>
          <w:tab w:val="num" w:pos="5760"/>
        </w:tabs>
        <w:ind w:left="5760" w:hanging="360"/>
      </w:pPr>
      <w:rPr>
        <w:rFonts w:ascii="Courier New" w:hAnsi="Courier New"/>
      </w:rPr>
    </w:lvl>
    <w:lvl w:ilvl="8" w:tplc="378A005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D5E1C68">
      <w:start w:val="1"/>
      <w:numFmt w:val="bullet"/>
      <w:lvlText w:val=""/>
      <w:lvlJc w:val="left"/>
      <w:pPr>
        <w:ind w:left="720" w:hanging="360"/>
      </w:pPr>
      <w:rPr>
        <w:rFonts w:ascii="Symbol" w:hAnsi="Symbol"/>
        <w:b w:val="0"/>
        <w:bCs w:val="0"/>
      </w:rPr>
    </w:lvl>
    <w:lvl w:ilvl="1" w:tplc="1F5C8542">
      <w:start w:val="1"/>
      <w:numFmt w:val="bullet"/>
      <w:lvlText w:val="o"/>
      <w:lvlJc w:val="left"/>
      <w:pPr>
        <w:tabs>
          <w:tab w:val="num" w:pos="1440"/>
        </w:tabs>
        <w:ind w:left="1440" w:hanging="360"/>
      </w:pPr>
      <w:rPr>
        <w:rFonts w:ascii="Courier New" w:hAnsi="Courier New"/>
      </w:rPr>
    </w:lvl>
    <w:lvl w:ilvl="2" w:tplc="CD70FA0E">
      <w:start w:val="1"/>
      <w:numFmt w:val="bullet"/>
      <w:lvlText w:val=""/>
      <w:lvlJc w:val="left"/>
      <w:pPr>
        <w:tabs>
          <w:tab w:val="num" w:pos="2160"/>
        </w:tabs>
        <w:ind w:left="2160" w:hanging="360"/>
      </w:pPr>
      <w:rPr>
        <w:rFonts w:ascii="Wingdings" w:hAnsi="Wingdings"/>
      </w:rPr>
    </w:lvl>
    <w:lvl w:ilvl="3" w:tplc="A9768772">
      <w:start w:val="1"/>
      <w:numFmt w:val="bullet"/>
      <w:lvlText w:val=""/>
      <w:lvlJc w:val="left"/>
      <w:pPr>
        <w:tabs>
          <w:tab w:val="num" w:pos="2880"/>
        </w:tabs>
        <w:ind w:left="2880" w:hanging="360"/>
      </w:pPr>
      <w:rPr>
        <w:rFonts w:ascii="Symbol" w:hAnsi="Symbol"/>
      </w:rPr>
    </w:lvl>
    <w:lvl w:ilvl="4" w:tplc="955A3AC2">
      <w:start w:val="1"/>
      <w:numFmt w:val="bullet"/>
      <w:lvlText w:val="o"/>
      <w:lvlJc w:val="left"/>
      <w:pPr>
        <w:tabs>
          <w:tab w:val="num" w:pos="3600"/>
        </w:tabs>
        <w:ind w:left="3600" w:hanging="360"/>
      </w:pPr>
      <w:rPr>
        <w:rFonts w:ascii="Courier New" w:hAnsi="Courier New"/>
      </w:rPr>
    </w:lvl>
    <w:lvl w:ilvl="5" w:tplc="93720DE8">
      <w:start w:val="1"/>
      <w:numFmt w:val="bullet"/>
      <w:lvlText w:val=""/>
      <w:lvlJc w:val="left"/>
      <w:pPr>
        <w:tabs>
          <w:tab w:val="num" w:pos="4320"/>
        </w:tabs>
        <w:ind w:left="4320" w:hanging="360"/>
      </w:pPr>
      <w:rPr>
        <w:rFonts w:ascii="Wingdings" w:hAnsi="Wingdings"/>
      </w:rPr>
    </w:lvl>
    <w:lvl w:ilvl="6" w:tplc="D2FCC6BA">
      <w:start w:val="1"/>
      <w:numFmt w:val="bullet"/>
      <w:lvlText w:val=""/>
      <w:lvlJc w:val="left"/>
      <w:pPr>
        <w:tabs>
          <w:tab w:val="num" w:pos="5040"/>
        </w:tabs>
        <w:ind w:left="5040" w:hanging="360"/>
      </w:pPr>
      <w:rPr>
        <w:rFonts w:ascii="Symbol" w:hAnsi="Symbol"/>
      </w:rPr>
    </w:lvl>
    <w:lvl w:ilvl="7" w:tplc="5AFAB718">
      <w:start w:val="1"/>
      <w:numFmt w:val="bullet"/>
      <w:lvlText w:val="o"/>
      <w:lvlJc w:val="left"/>
      <w:pPr>
        <w:tabs>
          <w:tab w:val="num" w:pos="5760"/>
        </w:tabs>
        <w:ind w:left="5760" w:hanging="360"/>
      </w:pPr>
      <w:rPr>
        <w:rFonts w:ascii="Courier New" w:hAnsi="Courier New"/>
      </w:rPr>
    </w:lvl>
    <w:lvl w:ilvl="8" w:tplc="BD6695D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38E54BA">
      <w:start w:val="1"/>
      <w:numFmt w:val="bullet"/>
      <w:lvlText w:val=""/>
      <w:lvlJc w:val="left"/>
      <w:pPr>
        <w:ind w:left="720" w:hanging="360"/>
      </w:pPr>
      <w:rPr>
        <w:rFonts w:ascii="Symbol" w:hAnsi="Symbol"/>
        <w:b w:val="0"/>
        <w:bCs w:val="0"/>
      </w:rPr>
    </w:lvl>
    <w:lvl w:ilvl="1" w:tplc="C78276EC">
      <w:start w:val="1"/>
      <w:numFmt w:val="bullet"/>
      <w:lvlText w:val="o"/>
      <w:lvlJc w:val="left"/>
      <w:pPr>
        <w:tabs>
          <w:tab w:val="num" w:pos="1440"/>
        </w:tabs>
        <w:ind w:left="1440" w:hanging="360"/>
      </w:pPr>
      <w:rPr>
        <w:rFonts w:ascii="Courier New" w:hAnsi="Courier New"/>
      </w:rPr>
    </w:lvl>
    <w:lvl w:ilvl="2" w:tplc="C3924AA2">
      <w:start w:val="1"/>
      <w:numFmt w:val="bullet"/>
      <w:lvlText w:val=""/>
      <w:lvlJc w:val="left"/>
      <w:pPr>
        <w:tabs>
          <w:tab w:val="num" w:pos="2160"/>
        </w:tabs>
        <w:ind w:left="2160" w:hanging="360"/>
      </w:pPr>
      <w:rPr>
        <w:rFonts w:ascii="Wingdings" w:hAnsi="Wingdings"/>
      </w:rPr>
    </w:lvl>
    <w:lvl w:ilvl="3" w:tplc="88B2A052">
      <w:start w:val="1"/>
      <w:numFmt w:val="bullet"/>
      <w:lvlText w:val=""/>
      <w:lvlJc w:val="left"/>
      <w:pPr>
        <w:tabs>
          <w:tab w:val="num" w:pos="2880"/>
        </w:tabs>
        <w:ind w:left="2880" w:hanging="360"/>
      </w:pPr>
      <w:rPr>
        <w:rFonts w:ascii="Symbol" w:hAnsi="Symbol"/>
      </w:rPr>
    </w:lvl>
    <w:lvl w:ilvl="4" w:tplc="DED059F4">
      <w:start w:val="1"/>
      <w:numFmt w:val="bullet"/>
      <w:lvlText w:val="o"/>
      <w:lvlJc w:val="left"/>
      <w:pPr>
        <w:tabs>
          <w:tab w:val="num" w:pos="3600"/>
        </w:tabs>
        <w:ind w:left="3600" w:hanging="360"/>
      </w:pPr>
      <w:rPr>
        <w:rFonts w:ascii="Courier New" w:hAnsi="Courier New"/>
      </w:rPr>
    </w:lvl>
    <w:lvl w:ilvl="5" w:tplc="3FD4229A">
      <w:start w:val="1"/>
      <w:numFmt w:val="bullet"/>
      <w:lvlText w:val=""/>
      <w:lvlJc w:val="left"/>
      <w:pPr>
        <w:tabs>
          <w:tab w:val="num" w:pos="4320"/>
        </w:tabs>
        <w:ind w:left="4320" w:hanging="360"/>
      </w:pPr>
      <w:rPr>
        <w:rFonts w:ascii="Wingdings" w:hAnsi="Wingdings"/>
      </w:rPr>
    </w:lvl>
    <w:lvl w:ilvl="6" w:tplc="B3600518">
      <w:start w:val="1"/>
      <w:numFmt w:val="bullet"/>
      <w:lvlText w:val=""/>
      <w:lvlJc w:val="left"/>
      <w:pPr>
        <w:tabs>
          <w:tab w:val="num" w:pos="5040"/>
        </w:tabs>
        <w:ind w:left="5040" w:hanging="360"/>
      </w:pPr>
      <w:rPr>
        <w:rFonts w:ascii="Symbol" w:hAnsi="Symbol"/>
      </w:rPr>
    </w:lvl>
    <w:lvl w:ilvl="7" w:tplc="AE081A94">
      <w:start w:val="1"/>
      <w:numFmt w:val="bullet"/>
      <w:lvlText w:val="o"/>
      <w:lvlJc w:val="left"/>
      <w:pPr>
        <w:tabs>
          <w:tab w:val="num" w:pos="5760"/>
        </w:tabs>
        <w:ind w:left="5760" w:hanging="360"/>
      </w:pPr>
      <w:rPr>
        <w:rFonts w:ascii="Courier New" w:hAnsi="Courier New"/>
      </w:rPr>
    </w:lvl>
    <w:lvl w:ilvl="8" w:tplc="E8DAB5E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89261CC">
      <w:start w:val="1"/>
      <w:numFmt w:val="bullet"/>
      <w:lvlText w:val=""/>
      <w:lvlJc w:val="left"/>
      <w:pPr>
        <w:ind w:left="720" w:hanging="360"/>
      </w:pPr>
      <w:rPr>
        <w:rFonts w:ascii="Symbol" w:hAnsi="Symbol"/>
        <w:b w:val="0"/>
        <w:bCs w:val="0"/>
      </w:rPr>
    </w:lvl>
    <w:lvl w:ilvl="1" w:tplc="46967112">
      <w:start w:val="1"/>
      <w:numFmt w:val="bullet"/>
      <w:lvlText w:val="o"/>
      <w:lvlJc w:val="left"/>
      <w:pPr>
        <w:tabs>
          <w:tab w:val="num" w:pos="1440"/>
        </w:tabs>
        <w:ind w:left="1440" w:hanging="360"/>
      </w:pPr>
      <w:rPr>
        <w:rFonts w:ascii="Courier New" w:hAnsi="Courier New"/>
      </w:rPr>
    </w:lvl>
    <w:lvl w:ilvl="2" w:tplc="390CE878">
      <w:start w:val="1"/>
      <w:numFmt w:val="bullet"/>
      <w:lvlText w:val=""/>
      <w:lvlJc w:val="left"/>
      <w:pPr>
        <w:tabs>
          <w:tab w:val="num" w:pos="2160"/>
        </w:tabs>
        <w:ind w:left="2160" w:hanging="360"/>
      </w:pPr>
      <w:rPr>
        <w:rFonts w:ascii="Wingdings" w:hAnsi="Wingdings"/>
      </w:rPr>
    </w:lvl>
    <w:lvl w:ilvl="3" w:tplc="F62EDA26">
      <w:start w:val="1"/>
      <w:numFmt w:val="bullet"/>
      <w:lvlText w:val=""/>
      <w:lvlJc w:val="left"/>
      <w:pPr>
        <w:tabs>
          <w:tab w:val="num" w:pos="2880"/>
        </w:tabs>
        <w:ind w:left="2880" w:hanging="360"/>
      </w:pPr>
      <w:rPr>
        <w:rFonts w:ascii="Symbol" w:hAnsi="Symbol"/>
      </w:rPr>
    </w:lvl>
    <w:lvl w:ilvl="4" w:tplc="733648C6">
      <w:start w:val="1"/>
      <w:numFmt w:val="bullet"/>
      <w:lvlText w:val="o"/>
      <w:lvlJc w:val="left"/>
      <w:pPr>
        <w:tabs>
          <w:tab w:val="num" w:pos="3600"/>
        </w:tabs>
        <w:ind w:left="3600" w:hanging="360"/>
      </w:pPr>
      <w:rPr>
        <w:rFonts w:ascii="Courier New" w:hAnsi="Courier New"/>
      </w:rPr>
    </w:lvl>
    <w:lvl w:ilvl="5" w:tplc="2416E07E">
      <w:start w:val="1"/>
      <w:numFmt w:val="bullet"/>
      <w:lvlText w:val=""/>
      <w:lvlJc w:val="left"/>
      <w:pPr>
        <w:tabs>
          <w:tab w:val="num" w:pos="4320"/>
        </w:tabs>
        <w:ind w:left="4320" w:hanging="360"/>
      </w:pPr>
      <w:rPr>
        <w:rFonts w:ascii="Wingdings" w:hAnsi="Wingdings"/>
      </w:rPr>
    </w:lvl>
    <w:lvl w:ilvl="6" w:tplc="F4224BC2">
      <w:start w:val="1"/>
      <w:numFmt w:val="bullet"/>
      <w:lvlText w:val=""/>
      <w:lvlJc w:val="left"/>
      <w:pPr>
        <w:tabs>
          <w:tab w:val="num" w:pos="5040"/>
        </w:tabs>
        <w:ind w:left="5040" w:hanging="360"/>
      </w:pPr>
      <w:rPr>
        <w:rFonts w:ascii="Symbol" w:hAnsi="Symbol"/>
      </w:rPr>
    </w:lvl>
    <w:lvl w:ilvl="7" w:tplc="E94EDCEC">
      <w:start w:val="1"/>
      <w:numFmt w:val="bullet"/>
      <w:lvlText w:val="o"/>
      <w:lvlJc w:val="left"/>
      <w:pPr>
        <w:tabs>
          <w:tab w:val="num" w:pos="5760"/>
        </w:tabs>
        <w:ind w:left="5760" w:hanging="360"/>
      </w:pPr>
      <w:rPr>
        <w:rFonts w:ascii="Courier New" w:hAnsi="Courier New"/>
      </w:rPr>
    </w:lvl>
    <w:lvl w:ilvl="8" w:tplc="E3E4665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CAC3416">
      <w:start w:val="1"/>
      <w:numFmt w:val="bullet"/>
      <w:lvlText w:val=""/>
      <w:lvlJc w:val="left"/>
      <w:pPr>
        <w:ind w:left="720" w:hanging="360"/>
      </w:pPr>
      <w:rPr>
        <w:rFonts w:ascii="Symbol" w:hAnsi="Symbol"/>
        <w:b w:val="0"/>
        <w:bCs w:val="0"/>
      </w:rPr>
    </w:lvl>
    <w:lvl w:ilvl="1" w:tplc="B65EBDE0">
      <w:start w:val="1"/>
      <w:numFmt w:val="bullet"/>
      <w:lvlText w:val="o"/>
      <w:lvlJc w:val="left"/>
      <w:pPr>
        <w:tabs>
          <w:tab w:val="num" w:pos="1440"/>
        </w:tabs>
        <w:ind w:left="1440" w:hanging="360"/>
      </w:pPr>
      <w:rPr>
        <w:rFonts w:ascii="Courier New" w:hAnsi="Courier New"/>
      </w:rPr>
    </w:lvl>
    <w:lvl w:ilvl="2" w:tplc="B3F68714">
      <w:start w:val="1"/>
      <w:numFmt w:val="bullet"/>
      <w:lvlText w:val=""/>
      <w:lvlJc w:val="left"/>
      <w:pPr>
        <w:tabs>
          <w:tab w:val="num" w:pos="2160"/>
        </w:tabs>
        <w:ind w:left="2160" w:hanging="360"/>
      </w:pPr>
      <w:rPr>
        <w:rFonts w:ascii="Wingdings" w:hAnsi="Wingdings"/>
      </w:rPr>
    </w:lvl>
    <w:lvl w:ilvl="3" w:tplc="B5202854">
      <w:start w:val="1"/>
      <w:numFmt w:val="bullet"/>
      <w:lvlText w:val=""/>
      <w:lvlJc w:val="left"/>
      <w:pPr>
        <w:tabs>
          <w:tab w:val="num" w:pos="2880"/>
        </w:tabs>
        <w:ind w:left="2880" w:hanging="360"/>
      </w:pPr>
      <w:rPr>
        <w:rFonts w:ascii="Symbol" w:hAnsi="Symbol"/>
      </w:rPr>
    </w:lvl>
    <w:lvl w:ilvl="4" w:tplc="80E6746E">
      <w:start w:val="1"/>
      <w:numFmt w:val="bullet"/>
      <w:lvlText w:val="o"/>
      <w:lvlJc w:val="left"/>
      <w:pPr>
        <w:tabs>
          <w:tab w:val="num" w:pos="3600"/>
        </w:tabs>
        <w:ind w:left="3600" w:hanging="360"/>
      </w:pPr>
      <w:rPr>
        <w:rFonts w:ascii="Courier New" w:hAnsi="Courier New"/>
      </w:rPr>
    </w:lvl>
    <w:lvl w:ilvl="5" w:tplc="28DCE2CC">
      <w:start w:val="1"/>
      <w:numFmt w:val="bullet"/>
      <w:lvlText w:val=""/>
      <w:lvlJc w:val="left"/>
      <w:pPr>
        <w:tabs>
          <w:tab w:val="num" w:pos="4320"/>
        </w:tabs>
        <w:ind w:left="4320" w:hanging="360"/>
      </w:pPr>
      <w:rPr>
        <w:rFonts w:ascii="Wingdings" w:hAnsi="Wingdings"/>
      </w:rPr>
    </w:lvl>
    <w:lvl w:ilvl="6" w:tplc="42A8B484">
      <w:start w:val="1"/>
      <w:numFmt w:val="bullet"/>
      <w:lvlText w:val=""/>
      <w:lvlJc w:val="left"/>
      <w:pPr>
        <w:tabs>
          <w:tab w:val="num" w:pos="5040"/>
        </w:tabs>
        <w:ind w:left="5040" w:hanging="360"/>
      </w:pPr>
      <w:rPr>
        <w:rFonts w:ascii="Symbol" w:hAnsi="Symbol"/>
      </w:rPr>
    </w:lvl>
    <w:lvl w:ilvl="7" w:tplc="9A74DD96">
      <w:start w:val="1"/>
      <w:numFmt w:val="bullet"/>
      <w:lvlText w:val="o"/>
      <w:lvlJc w:val="left"/>
      <w:pPr>
        <w:tabs>
          <w:tab w:val="num" w:pos="5760"/>
        </w:tabs>
        <w:ind w:left="5760" w:hanging="360"/>
      </w:pPr>
      <w:rPr>
        <w:rFonts w:ascii="Courier New" w:hAnsi="Courier New"/>
      </w:rPr>
    </w:lvl>
    <w:lvl w:ilvl="8" w:tplc="6534008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hybridMultilevel"/>
    <w:tmpl w:val="0000000C"/>
    <w:lvl w:ilvl="0" w:tplc="5040FE08">
      <w:start w:val="1"/>
      <w:numFmt w:val="bullet"/>
      <w:lvlText w:val=""/>
      <w:lvlJc w:val="left"/>
      <w:pPr>
        <w:ind w:left="720" w:hanging="360"/>
      </w:pPr>
      <w:rPr>
        <w:rFonts w:ascii="Symbol" w:hAnsi="Symbol"/>
        <w:b w:val="0"/>
        <w:bCs w:val="0"/>
      </w:rPr>
    </w:lvl>
    <w:lvl w:ilvl="1" w:tplc="08589252">
      <w:start w:val="1"/>
      <w:numFmt w:val="bullet"/>
      <w:lvlText w:val="o"/>
      <w:lvlJc w:val="left"/>
      <w:pPr>
        <w:tabs>
          <w:tab w:val="num" w:pos="1440"/>
        </w:tabs>
        <w:ind w:left="1440" w:hanging="360"/>
      </w:pPr>
      <w:rPr>
        <w:rFonts w:ascii="Courier New" w:hAnsi="Courier New"/>
      </w:rPr>
    </w:lvl>
    <w:lvl w:ilvl="2" w:tplc="0270D418">
      <w:start w:val="1"/>
      <w:numFmt w:val="bullet"/>
      <w:lvlText w:val=""/>
      <w:lvlJc w:val="left"/>
      <w:pPr>
        <w:tabs>
          <w:tab w:val="num" w:pos="2160"/>
        </w:tabs>
        <w:ind w:left="2160" w:hanging="360"/>
      </w:pPr>
      <w:rPr>
        <w:rFonts w:ascii="Wingdings" w:hAnsi="Wingdings"/>
      </w:rPr>
    </w:lvl>
    <w:lvl w:ilvl="3" w:tplc="33EE93A6">
      <w:start w:val="1"/>
      <w:numFmt w:val="bullet"/>
      <w:lvlText w:val=""/>
      <w:lvlJc w:val="left"/>
      <w:pPr>
        <w:tabs>
          <w:tab w:val="num" w:pos="2880"/>
        </w:tabs>
        <w:ind w:left="2880" w:hanging="360"/>
      </w:pPr>
      <w:rPr>
        <w:rFonts w:ascii="Symbol" w:hAnsi="Symbol"/>
      </w:rPr>
    </w:lvl>
    <w:lvl w:ilvl="4" w:tplc="B0BC8F20">
      <w:start w:val="1"/>
      <w:numFmt w:val="bullet"/>
      <w:lvlText w:val="o"/>
      <w:lvlJc w:val="left"/>
      <w:pPr>
        <w:tabs>
          <w:tab w:val="num" w:pos="3600"/>
        </w:tabs>
        <w:ind w:left="3600" w:hanging="360"/>
      </w:pPr>
      <w:rPr>
        <w:rFonts w:ascii="Courier New" w:hAnsi="Courier New"/>
      </w:rPr>
    </w:lvl>
    <w:lvl w:ilvl="5" w:tplc="2B0029E6">
      <w:start w:val="1"/>
      <w:numFmt w:val="bullet"/>
      <w:lvlText w:val=""/>
      <w:lvlJc w:val="left"/>
      <w:pPr>
        <w:tabs>
          <w:tab w:val="num" w:pos="4320"/>
        </w:tabs>
        <w:ind w:left="4320" w:hanging="360"/>
      </w:pPr>
      <w:rPr>
        <w:rFonts w:ascii="Wingdings" w:hAnsi="Wingdings"/>
      </w:rPr>
    </w:lvl>
    <w:lvl w:ilvl="6" w:tplc="A336CAB2">
      <w:start w:val="1"/>
      <w:numFmt w:val="bullet"/>
      <w:lvlText w:val=""/>
      <w:lvlJc w:val="left"/>
      <w:pPr>
        <w:tabs>
          <w:tab w:val="num" w:pos="5040"/>
        </w:tabs>
        <w:ind w:left="5040" w:hanging="360"/>
      </w:pPr>
      <w:rPr>
        <w:rFonts w:ascii="Symbol" w:hAnsi="Symbol"/>
      </w:rPr>
    </w:lvl>
    <w:lvl w:ilvl="7" w:tplc="B0842D42">
      <w:start w:val="1"/>
      <w:numFmt w:val="bullet"/>
      <w:lvlText w:val="o"/>
      <w:lvlJc w:val="left"/>
      <w:pPr>
        <w:tabs>
          <w:tab w:val="num" w:pos="5760"/>
        </w:tabs>
        <w:ind w:left="5760" w:hanging="360"/>
      </w:pPr>
      <w:rPr>
        <w:rFonts w:ascii="Courier New" w:hAnsi="Courier New"/>
      </w:rPr>
    </w:lvl>
    <w:lvl w:ilvl="8" w:tplc="ADA891E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2CE6016">
      <w:start w:val="1"/>
      <w:numFmt w:val="bullet"/>
      <w:lvlText w:val=""/>
      <w:lvlJc w:val="left"/>
      <w:pPr>
        <w:ind w:left="720" w:hanging="360"/>
      </w:pPr>
      <w:rPr>
        <w:rFonts w:ascii="Symbol" w:hAnsi="Symbol"/>
        <w:b w:val="0"/>
        <w:bCs w:val="0"/>
      </w:rPr>
    </w:lvl>
    <w:lvl w:ilvl="1" w:tplc="AB72DD66">
      <w:start w:val="1"/>
      <w:numFmt w:val="bullet"/>
      <w:lvlText w:val="o"/>
      <w:lvlJc w:val="left"/>
      <w:pPr>
        <w:tabs>
          <w:tab w:val="num" w:pos="1440"/>
        </w:tabs>
        <w:ind w:left="1440" w:hanging="360"/>
      </w:pPr>
      <w:rPr>
        <w:rFonts w:ascii="Courier New" w:hAnsi="Courier New"/>
      </w:rPr>
    </w:lvl>
    <w:lvl w:ilvl="2" w:tplc="0DDAA67C">
      <w:start w:val="1"/>
      <w:numFmt w:val="bullet"/>
      <w:lvlText w:val=""/>
      <w:lvlJc w:val="left"/>
      <w:pPr>
        <w:tabs>
          <w:tab w:val="num" w:pos="2160"/>
        </w:tabs>
        <w:ind w:left="2160" w:hanging="360"/>
      </w:pPr>
      <w:rPr>
        <w:rFonts w:ascii="Wingdings" w:hAnsi="Wingdings"/>
      </w:rPr>
    </w:lvl>
    <w:lvl w:ilvl="3" w:tplc="51828176">
      <w:start w:val="1"/>
      <w:numFmt w:val="bullet"/>
      <w:lvlText w:val=""/>
      <w:lvlJc w:val="left"/>
      <w:pPr>
        <w:tabs>
          <w:tab w:val="num" w:pos="2880"/>
        </w:tabs>
        <w:ind w:left="2880" w:hanging="360"/>
      </w:pPr>
      <w:rPr>
        <w:rFonts w:ascii="Symbol" w:hAnsi="Symbol"/>
      </w:rPr>
    </w:lvl>
    <w:lvl w:ilvl="4" w:tplc="1C4E464E">
      <w:start w:val="1"/>
      <w:numFmt w:val="bullet"/>
      <w:lvlText w:val="o"/>
      <w:lvlJc w:val="left"/>
      <w:pPr>
        <w:tabs>
          <w:tab w:val="num" w:pos="3600"/>
        </w:tabs>
        <w:ind w:left="3600" w:hanging="360"/>
      </w:pPr>
      <w:rPr>
        <w:rFonts w:ascii="Courier New" w:hAnsi="Courier New"/>
      </w:rPr>
    </w:lvl>
    <w:lvl w:ilvl="5" w:tplc="8552013E">
      <w:start w:val="1"/>
      <w:numFmt w:val="bullet"/>
      <w:lvlText w:val=""/>
      <w:lvlJc w:val="left"/>
      <w:pPr>
        <w:tabs>
          <w:tab w:val="num" w:pos="4320"/>
        </w:tabs>
        <w:ind w:left="4320" w:hanging="360"/>
      </w:pPr>
      <w:rPr>
        <w:rFonts w:ascii="Wingdings" w:hAnsi="Wingdings"/>
      </w:rPr>
    </w:lvl>
    <w:lvl w:ilvl="6" w:tplc="0B76EF38">
      <w:start w:val="1"/>
      <w:numFmt w:val="bullet"/>
      <w:lvlText w:val=""/>
      <w:lvlJc w:val="left"/>
      <w:pPr>
        <w:tabs>
          <w:tab w:val="num" w:pos="5040"/>
        </w:tabs>
        <w:ind w:left="5040" w:hanging="360"/>
      </w:pPr>
      <w:rPr>
        <w:rFonts w:ascii="Symbol" w:hAnsi="Symbol"/>
      </w:rPr>
    </w:lvl>
    <w:lvl w:ilvl="7" w:tplc="D2B881E4">
      <w:start w:val="1"/>
      <w:numFmt w:val="bullet"/>
      <w:lvlText w:val="o"/>
      <w:lvlJc w:val="left"/>
      <w:pPr>
        <w:tabs>
          <w:tab w:val="num" w:pos="5760"/>
        </w:tabs>
        <w:ind w:left="5760" w:hanging="360"/>
      </w:pPr>
      <w:rPr>
        <w:rFonts w:ascii="Courier New" w:hAnsi="Courier New"/>
      </w:rPr>
    </w:lvl>
    <w:lvl w:ilvl="8" w:tplc="A17A493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8CE5866">
      <w:start w:val="1"/>
      <w:numFmt w:val="bullet"/>
      <w:lvlText w:val=""/>
      <w:lvlJc w:val="left"/>
      <w:pPr>
        <w:ind w:left="720" w:hanging="360"/>
      </w:pPr>
      <w:rPr>
        <w:rFonts w:ascii="Symbol" w:hAnsi="Symbol"/>
        <w:b w:val="0"/>
        <w:bCs w:val="0"/>
      </w:rPr>
    </w:lvl>
    <w:lvl w:ilvl="1" w:tplc="D2FEF86C">
      <w:start w:val="1"/>
      <w:numFmt w:val="bullet"/>
      <w:lvlText w:val="o"/>
      <w:lvlJc w:val="left"/>
      <w:pPr>
        <w:tabs>
          <w:tab w:val="num" w:pos="1440"/>
        </w:tabs>
        <w:ind w:left="1440" w:hanging="360"/>
      </w:pPr>
      <w:rPr>
        <w:rFonts w:ascii="Courier New" w:hAnsi="Courier New"/>
      </w:rPr>
    </w:lvl>
    <w:lvl w:ilvl="2" w:tplc="D92E589C">
      <w:start w:val="1"/>
      <w:numFmt w:val="bullet"/>
      <w:lvlText w:val=""/>
      <w:lvlJc w:val="left"/>
      <w:pPr>
        <w:tabs>
          <w:tab w:val="num" w:pos="2160"/>
        </w:tabs>
        <w:ind w:left="2160" w:hanging="360"/>
      </w:pPr>
      <w:rPr>
        <w:rFonts w:ascii="Wingdings" w:hAnsi="Wingdings"/>
      </w:rPr>
    </w:lvl>
    <w:lvl w:ilvl="3" w:tplc="EB3028F8">
      <w:start w:val="1"/>
      <w:numFmt w:val="bullet"/>
      <w:lvlText w:val=""/>
      <w:lvlJc w:val="left"/>
      <w:pPr>
        <w:tabs>
          <w:tab w:val="num" w:pos="2880"/>
        </w:tabs>
        <w:ind w:left="2880" w:hanging="360"/>
      </w:pPr>
      <w:rPr>
        <w:rFonts w:ascii="Symbol" w:hAnsi="Symbol"/>
      </w:rPr>
    </w:lvl>
    <w:lvl w:ilvl="4" w:tplc="030C4518">
      <w:start w:val="1"/>
      <w:numFmt w:val="bullet"/>
      <w:lvlText w:val="o"/>
      <w:lvlJc w:val="left"/>
      <w:pPr>
        <w:tabs>
          <w:tab w:val="num" w:pos="3600"/>
        </w:tabs>
        <w:ind w:left="3600" w:hanging="360"/>
      </w:pPr>
      <w:rPr>
        <w:rFonts w:ascii="Courier New" w:hAnsi="Courier New"/>
      </w:rPr>
    </w:lvl>
    <w:lvl w:ilvl="5" w:tplc="23BE8E7A">
      <w:start w:val="1"/>
      <w:numFmt w:val="bullet"/>
      <w:lvlText w:val=""/>
      <w:lvlJc w:val="left"/>
      <w:pPr>
        <w:tabs>
          <w:tab w:val="num" w:pos="4320"/>
        </w:tabs>
        <w:ind w:left="4320" w:hanging="360"/>
      </w:pPr>
      <w:rPr>
        <w:rFonts w:ascii="Wingdings" w:hAnsi="Wingdings"/>
      </w:rPr>
    </w:lvl>
    <w:lvl w:ilvl="6" w:tplc="703AE186">
      <w:start w:val="1"/>
      <w:numFmt w:val="bullet"/>
      <w:lvlText w:val=""/>
      <w:lvlJc w:val="left"/>
      <w:pPr>
        <w:tabs>
          <w:tab w:val="num" w:pos="5040"/>
        </w:tabs>
        <w:ind w:left="5040" w:hanging="360"/>
      </w:pPr>
      <w:rPr>
        <w:rFonts w:ascii="Symbol" w:hAnsi="Symbol"/>
      </w:rPr>
    </w:lvl>
    <w:lvl w:ilvl="7" w:tplc="9450461C">
      <w:start w:val="1"/>
      <w:numFmt w:val="bullet"/>
      <w:lvlText w:val="o"/>
      <w:lvlJc w:val="left"/>
      <w:pPr>
        <w:tabs>
          <w:tab w:val="num" w:pos="5760"/>
        </w:tabs>
        <w:ind w:left="5760" w:hanging="360"/>
      </w:pPr>
      <w:rPr>
        <w:rFonts w:ascii="Courier New" w:hAnsi="Courier New"/>
      </w:rPr>
    </w:lvl>
    <w:lvl w:ilvl="8" w:tplc="06DEE8F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42"/>
    <w:rsid w:val="00076F4D"/>
    <w:rsid w:val="001024D1"/>
    <w:rsid w:val="001F7758"/>
    <w:rsid w:val="002A79C2"/>
    <w:rsid w:val="00352A9B"/>
    <w:rsid w:val="00480ED6"/>
    <w:rsid w:val="0049632C"/>
    <w:rsid w:val="00660716"/>
    <w:rsid w:val="006E24A4"/>
    <w:rsid w:val="007303AD"/>
    <w:rsid w:val="0086788A"/>
    <w:rsid w:val="00921442"/>
    <w:rsid w:val="00970EEE"/>
    <w:rsid w:val="009E3121"/>
    <w:rsid w:val="00A362B7"/>
    <w:rsid w:val="00A92F87"/>
    <w:rsid w:val="00BC7F4D"/>
    <w:rsid w:val="00BE70D9"/>
    <w:rsid w:val="00BF0314"/>
    <w:rsid w:val="00D13CFE"/>
    <w:rsid w:val="00D66C18"/>
    <w:rsid w:val="00ED1875"/>
    <w:rsid w:val="00F7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3406"/>
  <w15:docId w15:val="{59463865-7067-4353-B356-1A89CF77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Calibri" w:eastAsia="Calibri" w:hAnsi="Calibri" w:cs="Calibri"/>
      <w:sz w:val="22"/>
      <w:szCs w:val="22"/>
      <w:lang w:val="en-GB"/>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hrc.ukri.org/peerreview/peer-review-resourc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kri.org/wp-content/uploads/2021/07/UKRI-230721-4995CommsResumeJointFundersStatement-Final.pdf"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484855/The_recruitment_and_retention_of_transgender_staff-_guidance_for_employ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B27552FEFDB49A9509CBAE994B6CA" ma:contentTypeVersion="24" ma:contentTypeDescription="Create a new document." ma:contentTypeScope="" ma:versionID="994d4e1cd21872514c6b216e070ab245">
  <xsd:schema xmlns:xsd="http://www.w3.org/2001/XMLSchema" xmlns:xs="http://www.w3.org/2001/XMLSchema" xmlns:p="http://schemas.microsoft.com/office/2006/metadata/properties" xmlns:ns2="59523096-4241-4ba9-a793-bc8c145819ad" xmlns:ns3="f50dc410-4a54-4458-9e8d-5c179acc8ec1" xmlns:ns4="2e24dfb7-a69e-40eb-b94f-44b9ca9c25ed" xmlns:ns5="e7e3f6f3-40ce-4aa9-8984-553b2fd00e9c" targetNamespace="http://schemas.microsoft.com/office/2006/metadata/properties" ma:root="true" ma:fieldsID="c22d786aa6fa3b933fc73df2df7ed029" ns2:_="" ns3:_="" ns4:_="" ns5:_="">
    <xsd:import namespace="59523096-4241-4ba9-a793-bc8c145819ad"/>
    <xsd:import namespace="f50dc410-4a54-4458-9e8d-5c179acc8ec1"/>
    <xsd:import namespace="2e24dfb7-a69e-40eb-b94f-44b9ca9c25ed"/>
    <xsd:import namespace="e7e3f6f3-40ce-4aa9-8984-553b2fd00e9c"/>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5:SharedWithUsers" minOccurs="0"/>
                <xsd:element ref="ns5: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23096-4241-4ba9-a793-bc8c14581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0dc410-4a54-4458-9e8d-5c179acc8ec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fd90bf-6a93-4b0a-b0d8-3cdaf06e694f}" ma:internalName="TaxCatchAll" ma:showField="CatchAllData" ma:web="59523096-4241-4ba9-a793-bc8c14581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e3f6f3-40ce-4aa9-8984-553b2fd00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f50dc410-4a54-4458-9e8d-5c179acc8ec1">
      <Terms xmlns="http://schemas.microsoft.com/office/infopath/2007/PartnerControls"/>
    </lcf76f155ced4ddcb4097134ff3c332f>
    <_dlc_DocId xmlns="59523096-4241-4ba9-a793-bc8c145819ad">DYXCUT-1576629015-7188</_dlc_DocId>
    <_dlc_DocIdUrl xmlns="59523096-4241-4ba9-a793-bc8c145819ad">
      <Url>https://ukri.sharepoint.com/sites/ah-docyard-xcut/rct/_layouts/15/DocIdRedir.aspx?ID=DYXCUT-1576629015-7188</Url>
      <Description>DYXCUT-1576629015-7188</Description>
    </_dlc_DocIdUrl>
  </documentManagement>
</p:properties>
</file>

<file path=customXml/itemProps1.xml><?xml version="1.0" encoding="utf-8"?>
<ds:datastoreItem xmlns:ds="http://schemas.openxmlformats.org/officeDocument/2006/customXml" ds:itemID="{7D63F837-8339-4A7B-AA19-D505B77A2136}">
  <ds:schemaRefs>
    <ds:schemaRef ds:uri="http://schemas.microsoft.com/sharepoint/v3/contenttype/forms"/>
  </ds:schemaRefs>
</ds:datastoreItem>
</file>

<file path=customXml/itemProps2.xml><?xml version="1.0" encoding="utf-8"?>
<ds:datastoreItem xmlns:ds="http://schemas.openxmlformats.org/officeDocument/2006/customXml" ds:itemID="{D92C2460-5831-446F-8C1F-39CFAC76E4A3}"/>
</file>

<file path=customXml/itemProps3.xml><?xml version="1.0" encoding="utf-8"?>
<ds:datastoreItem xmlns:ds="http://schemas.openxmlformats.org/officeDocument/2006/customXml" ds:itemID="{821074AE-AA4A-4F84-8840-9388EA18CD32}"/>
</file>

<file path=customXml/itemProps4.xml><?xml version="1.0" encoding="utf-8"?>
<ds:datastoreItem xmlns:ds="http://schemas.openxmlformats.org/officeDocument/2006/customXml" ds:itemID="{ED2F45E7-2647-4BE2-8C13-AA60DEB76BBF}"/>
</file>

<file path=docProps/app.xml><?xml version="1.0" encoding="utf-8"?>
<Properties xmlns="http://schemas.openxmlformats.org/officeDocument/2006/extended-properties" xmlns:vt="http://schemas.openxmlformats.org/officeDocument/2006/docPropsVTypes">
  <Template>Normal</Template>
  <TotalTime>19</TotalTime>
  <Pages>13</Pages>
  <Words>3764</Words>
  <Characters>21460</Characters>
  <Application>Microsoft Office Word</Application>
  <DocSecurity>0</DocSecurity>
  <Lines>178</Lines>
  <Paragraphs>50</Paragraphs>
  <ScaleCrop>false</ScaleCrop>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Isobel Guyver - AHRC UKRI</cp:lastModifiedBy>
  <cp:revision>22</cp:revision>
  <dcterms:created xsi:type="dcterms:W3CDTF">2022-10-19T10:28:00Z</dcterms:created>
  <dcterms:modified xsi:type="dcterms:W3CDTF">2022-10-19T12:08:00Z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0x0101001F2B27552FEFDB49A9509CBAE994B6CA</vt:lpwstr>
  </property>
  <property fmtid="{D5CDD505-2E9C-101B-9397-08002B2CF9AE}" pid="3" name="_dlc_DocIdItemGuid">
    <vt:lpwstr>ee1710c9-2752-418f-a5ad-7502e9b95d8e</vt:lpwstr>
  </property>
</Properties>
</file>