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32"/>
        <w:gridCol w:w="4884"/>
      </w:tblGrid>
      <w:tr w:rsidR="00085980" w:rsidRPr="00322D59" w14:paraId="5BD97CFE" w14:textId="77777777" w:rsidTr="0012321A">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DA7D918" w14:textId="77777777" w:rsidTr="0012321A">
        <w:trPr>
          <w:trHeight w:val="768"/>
        </w:trPr>
        <w:tc>
          <w:tcPr>
            <w:tcW w:w="4219" w:type="dxa"/>
            <w:shd w:val="clear" w:color="auto" w:fill="C6D9F1" w:themeFill="text2" w:themeFillTint="33"/>
          </w:tcPr>
          <w:p w14:paraId="419D0480"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B653E7">
            <w:pPr>
              <w:rPr>
                <w:rFonts w:cstheme="minorHAnsi"/>
                <w:b/>
                <w:color w:val="000000" w:themeColor="text1"/>
              </w:rPr>
            </w:pPr>
          </w:p>
        </w:tc>
        <w:tc>
          <w:tcPr>
            <w:tcW w:w="5023" w:type="dxa"/>
          </w:tcPr>
          <w:p w14:paraId="21379DA7" w14:textId="2006B850" w:rsidR="00085980" w:rsidRPr="004545A3" w:rsidRDefault="002003E0" w:rsidP="00B653E7">
            <w:pPr>
              <w:rPr>
                <w:rFonts w:cstheme="minorHAnsi"/>
              </w:rPr>
            </w:pPr>
            <w:r>
              <w:rPr>
                <w:rFonts w:cstheme="minorHAnsi"/>
              </w:rPr>
              <w:t xml:space="preserve">Transforming </w:t>
            </w:r>
            <w:r w:rsidR="00BB141C">
              <w:rPr>
                <w:rFonts w:cstheme="minorHAnsi"/>
              </w:rPr>
              <w:t>prediction and early diagnosis in the community</w:t>
            </w:r>
          </w:p>
        </w:tc>
      </w:tr>
      <w:tr w:rsidR="00085980" w:rsidRPr="00322D59" w14:paraId="194B6BEA" w14:textId="77777777" w:rsidTr="0012321A">
        <w:tc>
          <w:tcPr>
            <w:tcW w:w="4219" w:type="dxa"/>
            <w:shd w:val="clear" w:color="auto" w:fill="C6D9F1" w:themeFill="text2" w:themeFillTint="33"/>
          </w:tcPr>
          <w:p w14:paraId="5B406E38"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0F87FBAB" w14:textId="3F652F5F" w:rsidR="00235DDA" w:rsidRPr="009957DF" w:rsidRDefault="00BE2D87" w:rsidP="00235DDA">
            <w:pPr>
              <w:spacing w:line="276" w:lineRule="auto"/>
              <w:rPr>
                <w:rFonts w:cs="Arial"/>
              </w:rPr>
            </w:pPr>
            <w:r>
              <w:t xml:space="preserve">Provide </w:t>
            </w:r>
            <w:r w:rsidR="00235DDA">
              <w:t xml:space="preserve">funding to </w:t>
            </w:r>
            <w:r w:rsidR="00235DDA" w:rsidRPr="009957DF">
              <w:rPr>
                <w:rFonts w:cs="Arial"/>
              </w:rPr>
              <w:t>develop novel tools and technologies for patient-specific prediction, early and accurate diagnosis of physical and mental health conditions for use in the community.</w:t>
            </w:r>
          </w:p>
          <w:p w14:paraId="64C29E9A" w14:textId="6ECE801F" w:rsidR="00085980" w:rsidRPr="00922F19" w:rsidRDefault="00085980" w:rsidP="00B653E7"/>
        </w:tc>
      </w:tr>
      <w:tr w:rsidR="00085980" w:rsidRPr="00322D59" w14:paraId="217B598F" w14:textId="77777777" w:rsidTr="0012321A">
        <w:tc>
          <w:tcPr>
            <w:tcW w:w="4219" w:type="dxa"/>
            <w:shd w:val="clear" w:color="auto" w:fill="C6D9F1" w:themeFill="text2" w:themeFillTint="33"/>
          </w:tcPr>
          <w:p w14:paraId="7D77AE0C"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35CEB7B" w14:textId="77777777" w:rsidR="00085980" w:rsidRPr="004326A0" w:rsidRDefault="00085980" w:rsidP="00B653E7">
            <w:pPr>
              <w:rPr>
                <w:rFonts w:cstheme="minorHAnsi"/>
                <w:b/>
                <w:color w:val="000000" w:themeColor="text1"/>
              </w:rPr>
            </w:pPr>
          </w:p>
        </w:tc>
        <w:tc>
          <w:tcPr>
            <w:tcW w:w="5023" w:type="dxa"/>
          </w:tcPr>
          <w:p w14:paraId="793A659C" w14:textId="1AC72195" w:rsidR="00922F19" w:rsidRDefault="00922F19" w:rsidP="00B653E7">
            <w:pPr>
              <w:rPr>
                <w:rFonts w:cstheme="minorHAnsi"/>
              </w:rPr>
            </w:pPr>
            <w:r>
              <w:rPr>
                <w:rFonts w:cstheme="minorHAnsi"/>
              </w:rPr>
              <w:t xml:space="preserve">This </w:t>
            </w:r>
            <w:r w:rsidR="00A32ED1">
              <w:rPr>
                <w:rFonts w:cstheme="minorHAnsi"/>
              </w:rPr>
              <w:t xml:space="preserve">call has been disussed with the Healthcare Technolgoies Strategic Advisory </w:t>
            </w:r>
            <w:r w:rsidR="00570A3F">
              <w:rPr>
                <w:rFonts w:cstheme="minorHAnsi"/>
              </w:rPr>
              <w:t>T</w:t>
            </w:r>
            <w:r w:rsidR="00A32ED1">
              <w:rPr>
                <w:rFonts w:cstheme="minorHAnsi"/>
              </w:rPr>
              <w:t>eam</w:t>
            </w:r>
            <w:r w:rsidR="00000C67">
              <w:rPr>
                <w:rFonts w:cstheme="minorHAnsi"/>
              </w:rPr>
              <w:t>.</w:t>
            </w:r>
            <w:r w:rsidR="00B71B19">
              <w:rPr>
                <w:rFonts w:cstheme="minorHAnsi"/>
              </w:rPr>
              <w:t xml:space="preserve"> </w:t>
            </w:r>
            <w:r w:rsidR="008B672E">
              <w:rPr>
                <w:rFonts w:cstheme="minorHAnsi"/>
              </w:rPr>
              <w:t>Workshop</w:t>
            </w:r>
            <w:r w:rsidR="00570A3F">
              <w:rPr>
                <w:rFonts w:cstheme="minorHAnsi"/>
              </w:rPr>
              <w:t>s</w:t>
            </w:r>
            <w:r w:rsidR="008B672E">
              <w:rPr>
                <w:rFonts w:cstheme="minorHAnsi"/>
              </w:rPr>
              <w:t xml:space="preserve"> and engagement </w:t>
            </w:r>
            <w:r w:rsidR="00570A3F">
              <w:rPr>
                <w:rFonts w:cstheme="minorHAnsi"/>
              </w:rPr>
              <w:t>events with the wider academic community have also informed this opportunity.</w:t>
            </w:r>
          </w:p>
          <w:p w14:paraId="4EC2C7E4" w14:textId="41825E22" w:rsidR="00085980" w:rsidRPr="004545A3" w:rsidRDefault="00085980" w:rsidP="00B653E7">
            <w:pPr>
              <w:rPr>
                <w:rFonts w:cstheme="minorHAnsi"/>
              </w:rPr>
            </w:pPr>
          </w:p>
        </w:tc>
      </w:tr>
      <w:tr w:rsidR="00085980" w:rsidRPr="00322D59" w14:paraId="50DD3303" w14:textId="77777777" w:rsidTr="0012321A">
        <w:tc>
          <w:tcPr>
            <w:tcW w:w="4219" w:type="dxa"/>
            <w:shd w:val="clear" w:color="auto" w:fill="C6D9F1" w:themeFill="text2" w:themeFillTint="33"/>
          </w:tcPr>
          <w:p w14:paraId="142793B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351DBCB5" w14:textId="1D82059B" w:rsidR="00085980" w:rsidRPr="004545A3" w:rsidRDefault="007A4BFB" w:rsidP="00A60FD7">
            <w:pPr>
              <w:rPr>
                <w:rFonts w:cstheme="minorHAnsi"/>
              </w:rPr>
            </w:pPr>
            <w:r>
              <w:t>Applicants, reviewers, panel members, EPSRC staff</w:t>
            </w:r>
          </w:p>
        </w:tc>
      </w:tr>
      <w:tr w:rsidR="00085980" w:rsidRPr="00322D59" w14:paraId="1338A549" w14:textId="77777777" w:rsidTr="0012321A">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5AC574D3" w14:textId="166C3243" w:rsidR="00E34925" w:rsidRDefault="00232F0C" w:rsidP="00E50541">
            <w:r w:rsidRPr="00232F0C">
              <w:t>Research outcomes are collected through ResearchFish</w:t>
            </w:r>
            <w:r>
              <w:t>.</w:t>
            </w:r>
          </w:p>
          <w:p w14:paraId="04AA66C2" w14:textId="77777777" w:rsidR="00F4667F" w:rsidRDefault="00F4667F" w:rsidP="00E50541"/>
          <w:p w14:paraId="3C4F9959" w14:textId="26F2AE2A" w:rsidR="00F4667F" w:rsidRDefault="00F4667F" w:rsidP="00F4667F">
            <w:pPr>
              <w:spacing w:after="200" w:line="276" w:lineRule="auto"/>
            </w:pPr>
            <w:r>
              <w:rPr>
                <w:rFonts w:cstheme="minorHAnsi"/>
              </w:rPr>
              <w:t>EPSRC will engage with grant holders to monitor the projects and learn challenges and successes.</w:t>
            </w:r>
          </w:p>
          <w:p w14:paraId="4022D455" w14:textId="78F9EC7F" w:rsidR="00085980" w:rsidRPr="00CC6518" w:rsidRDefault="00085980" w:rsidP="00E50541"/>
        </w:tc>
      </w:tr>
    </w:tbl>
    <w:p w14:paraId="7F29A447" w14:textId="77777777" w:rsidR="00085980" w:rsidRDefault="00085980" w:rsidP="00085980">
      <w:pPr>
        <w:spacing w:after="0"/>
        <w:rPr>
          <w:rFonts w:cstheme="minorHAnsi"/>
          <w:b/>
          <w:color w:val="000000" w:themeColor="text1"/>
        </w:rPr>
      </w:pPr>
    </w:p>
    <w:p w14:paraId="7B9031EC" w14:textId="5668283B"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sidR="00882B2A">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The Research Councils have together developed the ambitious </w:t>
      </w:r>
      <w:hyperlink r:id="rId14" w:history="1">
        <w:r w:rsidRPr="00A0363A">
          <w:rPr>
            <w:rStyle w:val="Hyperlink"/>
            <w:rFonts w:asciiTheme="minorHAnsi" w:eastAsia="Dotum" w:hAnsiTheme="minorHAnsi" w:cstheme="minorHAnsi"/>
            <w:sz w:val="22"/>
            <w:szCs w:val="20"/>
            <w:lang w:val="en"/>
          </w:rPr>
          <w:t>RCUK Equality, Diversity and Inclusion Action Plan</w:t>
        </w:r>
      </w:hyperlink>
      <w:r w:rsidRPr="00A0363A">
        <w:rPr>
          <w:rFonts w:asciiTheme="minorHAnsi" w:eastAsia="Dotum" w:hAnsiTheme="minorHAnsi" w:cstheme="minorHAnsi"/>
          <w:color w:val="333333"/>
          <w:sz w:val="22"/>
          <w:szCs w:val="20"/>
          <w:lang w:val="en"/>
        </w:rPr>
        <w:t xml:space="preserve"> to outline our collective aspirations for working with the research community, and partners throughout the sector.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5"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12B1FBF0" w:rsidR="00BD7386" w:rsidRPr="00A0363A"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w:t>
      </w:r>
      <w:r w:rsidRPr="00BD7386">
        <w:rPr>
          <w:rFonts w:asciiTheme="minorHAnsi" w:eastAsia="Dotum" w:hAnsiTheme="minorHAnsi" w:cstheme="minorHAnsi"/>
          <w:color w:val="000000" w:themeColor="text1"/>
          <w:sz w:val="22"/>
          <w:szCs w:val="20"/>
        </w:rPr>
        <w:lastRenderedPageBreak/>
        <w:t>of the decision making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C0F8220"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sidR="00BD7386">
        <w:rPr>
          <w:rFonts w:asciiTheme="minorHAnsi" w:eastAsia="Dotum" w:hAnsiTheme="minorHAnsi" w:cstheme="minorHAnsi"/>
          <w:color w:val="000000" w:themeColor="text1"/>
          <w:sz w:val="22"/>
          <w:szCs w:val="20"/>
        </w:rPr>
        <w:t xml:space="preserve">. </w:t>
      </w:r>
      <w:r w:rsidR="00BD7386" w:rsidRPr="00BD7386">
        <w:rPr>
          <w:rFonts w:asciiTheme="minorHAnsi" w:eastAsia="Dotum" w:hAnsiTheme="minorHAnsi" w:cstheme="minorHAnsi"/>
          <w:color w:val="000000" w:themeColor="text1"/>
          <w:sz w:val="22"/>
          <w:szCs w:val="20"/>
        </w:rPr>
        <w:t>Staff will adhere to a mixed panel policy and endeavor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CE7441">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0" w:type="auto"/>
        <w:tblLook w:val="04A0" w:firstRow="1" w:lastRow="0" w:firstColumn="1" w:lastColumn="0" w:noHBand="0" w:noVBand="1"/>
      </w:tblPr>
      <w:tblGrid>
        <w:gridCol w:w="2264"/>
        <w:gridCol w:w="2236"/>
        <w:gridCol w:w="2266"/>
        <w:gridCol w:w="2250"/>
      </w:tblGrid>
      <w:tr w:rsidR="00085980" w:rsidRPr="00322D59" w14:paraId="189AA633" w14:textId="77777777" w:rsidTr="098AB3BC">
        <w:tc>
          <w:tcPr>
            <w:tcW w:w="2264" w:type="dxa"/>
            <w:shd w:val="clear" w:color="auto" w:fill="C6D9F1" w:themeFill="text2" w:themeFillTint="33"/>
          </w:tcPr>
          <w:p w14:paraId="25706C12"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2250" w:type="dxa"/>
            <w:shd w:val="clear" w:color="auto" w:fill="C6D9F1" w:themeFill="text2" w:themeFillTint="33"/>
          </w:tcPr>
          <w:p w14:paraId="42B799F8"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085980" w:rsidRPr="00322D59" w14:paraId="4BB36CA7" w14:textId="77777777" w:rsidTr="098AB3BC">
        <w:trPr>
          <w:trHeight w:val="331"/>
        </w:trPr>
        <w:tc>
          <w:tcPr>
            <w:tcW w:w="2264" w:type="dxa"/>
            <w:shd w:val="clear" w:color="auto" w:fill="C6D9F1" w:themeFill="text2" w:themeFillTint="33"/>
          </w:tcPr>
          <w:p w14:paraId="7FE6A39A" w14:textId="77777777" w:rsidR="00085980" w:rsidRPr="00322D59" w:rsidRDefault="00085980" w:rsidP="00B653E7">
            <w:pPr>
              <w:rPr>
                <w:rFonts w:cstheme="minorHAnsi"/>
                <w:b/>
                <w:color w:val="000000" w:themeColor="text1"/>
              </w:rPr>
            </w:pPr>
            <w:r w:rsidRPr="00322D59">
              <w:rPr>
                <w:rFonts w:cstheme="minorHAnsi"/>
                <w:b/>
                <w:color w:val="000000" w:themeColor="text1"/>
              </w:rPr>
              <w:t>Disability</w:t>
            </w:r>
          </w:p>
        </w:tc>
        <w:tc>
          <w:tcPr>
            <w:tcW w:w="2236" w:type="dxa"/>
          </w:tcPr>
          <w:p w14:paraId="7CADFADE" w14:textId="4DFD6E08" w:rsidR="006A027C" w:rsidRPr="004545A3" w:rsidRDefault="00FC0901" w:rsidP="00085980">
            <w:pPr>
              <w:rPr>
                <w:rFonts w:cstheme="minorHAnsi"/>
              </w:rPr>
            </w:pPr>
            <w:r>
              <w:rPr>
                <w:rFonts w:cstheme="minorHAnsi"/>
              </w:rPr>
              <w:t>Potentially negative</w:t>
            </w:r>
          </w:p>
          <w:p w14:paraId="397E247D" w14:textId="77777777" w:rsidR="008E7EE5" w:rsidRPr="004545A3" w:rsidRDefault="008E7EE5" w:rsidP="00085980">
            <w:pPr>
              <w:rPr>
                <w:rFonts w:cstheme="minorHAnsi"/>
              </w:rPr>
            </w:pPr>
          </w:p>
        </w:tc>
        <w:tc>
          <w:tcPr>
            <w:tcW w:w="2266" w:type="dxa"/>
          </w:tcPr>
          <w:p w14:paraId="45D02F54" w14:textId="77777777" w:rsidR="00A41E33" w:rsidRDefault="00A41E33" w:rsidP="00A41E33">
            <w:pPr>
              <w:rPr>
                <w:rFonts w:cstheme="minorHAnsi"/>
              </w:rPr>
            </w:pPr>
            <w:r w:rsidRPr="00790632">
              <w:rPr>
                <w:rFonts w:cstheme="minorHAnsi"/>
              </w:rPr>
              <w:t>All information provided is in written format.</w:t>
            </w:r>
          </w:p>
          <w:p w14:paraId="374AA368" w14:textId="2EBE088F" w:rsidR="00085980" w:rsidRPr="004545A3" w:rsidRDefault="00085980" w:rsidP="00B653E7">
            <w:pPr>
              <w:rPr>
                <w:rFonts w:cstheme="minorHAnsi"/>
              </w:rPr>
            </w:pPr>
          </w:p>
        </w:tc>
        <w:tc>
          <w:tcPr>
            <w:tcW w:w="2250" w:type="dxa"/>
          </w:tcPr>
          <w:p w14:paraId="23A10E37" w14:textId="77777777" w:rsidR="00F3604A" w:rsidRPr="00F3604A" w:rsidRDefault="00F3604A" w:rsidP="00F3604A">
            <w:pPr>
              <w:rPr>
                <w:rFonts w:cstheme="minorHAnsi"/>
              </w:rPr>
            </w:pPr>
            <w:r w:rsidRPr="00F3604A">
              <w:rPr>
                <w:rFonts w:cstheme="minorHAnsi"/>
              </w:rPr>
              <w:t>Any reasonable adjustments for specific requirements will be made.</w:t>
            </w:r>
          </w:p>
          <w:p w14:paraId="74AB1D1C" w14:textId="77777777" w:rsidR="00F3604A" w:rsidRPr="00F3604A" w:rsidRDefault="00F3604A" w:rsidP="00F3604A">
            <w:pPr>
              <w:rPr>
                <w:rFonts w:cstheme="minorHAnsi"/>
              </w:rPr>
            </w:pPr>
          </w:p>
          <w:p w14:paraId="456B9802" w14:textId="63889FCC" w:rsidR="00085980" w:rsidRPr="004545A3" w:rsidRDefault="00F3604A" w:rsidP="00F3604A">
            <w:pPr>
              <w:rPr>
                <w:rFonts w:cstheme="minorHAnsi"/>
              </w:rPr>
            </w:pPr>
            <w:r w:rsidRPr="00F3604A">
              <w:rPr>
                <w:rFonts w:cstheme="minorHAnsi"/>
              </w:rPr>
              <w:t>Documents will be produced in line with EPSRC formatting guidelines.</w:t>
            </w:r>
          </w:p>
        </w:tc>
      </w:tr>
      <w:tr w:rsidR="00085980" w:rsidRPr="00322D59" w14:paraId="3548377B" w14:textId="77777777" w:rsidTr="098AB3BC">
        <w:tc>
          <w:tcPr>
            <w:tcW w:w="2264" w:type="dxa"/>
            <w:shd w:val="clear" w:color="auto" w:fill="C6D9F1" w:themeFill="text2" w:themeFillTint="33"/>
          </w:tcPr>
          <w:p w14:paraId="3D5C1A09" w14:textId="77777777" w:rsidR="00085980" w:rsidRPr="00322D59" w:rsidRDefault="00085980" w:rsidP="00B653E7">
            <w:pPr>
              <w:rPr>
                <w:rFonts w:cstheme="minorHAnsi"/>
                <w:b/>
                <w:color w:val="000000" w:themeColor="text1"/>
              </w:rPr>
            </w:pPr>
            <w:r w:rsidRPr="00322D59">
              <w:rPr>
                <w:rFonts w:cstheme="minorHAnsi"/>
                <w:b/>
                <w:color w:val="000000" w:themeColor="text1"/>
              </w:rPr>
              <w:t>Gender reassignment</w:t>
            </w:r>
          </w:p>
        </w:tc>
        <w:tc>
          <w:tcPr>
            <w:tcW w:w="2236" w:type="dxa"/>
          </w:tcPr>
          <w:p w14:paraId="482C1FF3" w14:textId="77777777" w:rsidR="00637423" w:rsidRPr="008D772C" w:rsidRDefault="00637423" w:rsidP="00637423">
            <w:pPr>
              <w:rPr>
                <w:rFonts w:cstheme="minorHAnsi"/>
              </w:rPr>
            </w:pPr>
            <w:r w:rsidRPr="008D772C">
              <w:rPr>
                <w:rFonts w:cstheme="minorHAnsi"/>
              </w:rPr>
              <w:t xml:space="preserve">None identified </w:t>
            </w:r>
          </w:p>
          <w:p w14:paraId="6E841FA7" w14:textId="3F9449A1" w:rsidR="00426674" w:rsidRPr="004545A3" w:rsidRDefault="00426674" w:rsidP="00637423">
            <w:pPr>
              <w:rPr>
                <w:rFonts w:cstheme="minorHAnsi"/>
              </w:rPr>
            </w:pPr>
          </w:p>
        </w:tc>
        <w:tc>
          <w:tcPr>
            <w:tcW w:w="2266" w:type="dxa"/>
          </w:tcPr>
          <w:p w14:paraId="5DBF3171" w14:textId="77777777" w:rsidR="00085980" w:rsidRPr="004545A3" w:rsidRDefault="00085980" w:rsidP="00B653E7">
            <w:pPr>
              <w:rPr>
                <w:rFonts w:cstheme="minorHAnsi"/>
              </w:rPr>
            </w:pPr>
          </w:p>
        </w:tc>
        <w:tc>
          <w:tcPr>
            <w:tcW w:w="2250" w:type="dxa"/>
          </w:tcPr>
          <w:p w14:paraId="0AD8ABEC" w14:textId="0537364C" w:rsidR="00085980" w:rsidRPr="004545A3" w:rsidRDefault="008A2B28" w:rsidP="00B653E7">
            <w:pPr>
              <w:rPr>
                <w:rFonts w:cstheme="minorHAnsi"/>
                <w:b/>
              </w:rPr>
            </w:pPr>
            <w:r w:rsidRPr="006F14AD">
              <w:rPr>
                <w:rFonts w:cstheme="minorHAnsi"/>
                <w:bCs/>
              </w:rPr>
              <w:t>Gender neutral language will be used throughout and will be encouraged at panel meetings.</w:t>
            </w:r>
          </w:p>
        </w:tc>
      </w:tr>
      <w:tr w:rsidR="00085980" w:rsidRPr="00322D59" w14:paraId="6117B8C6" w14:textId="77777777" w:rsidTr="098AB3BC">
        <w:tc>
          <w:tcPr>
            <w:tcW w:w="2264" w:type="dxa"/>
            <w:shd w:val="clear" w:color="auto" w:fill="C6D9F1" w:themeFill="text2" w:themeFillTint="33"/>
          </w:tcPr>
          <w:p w14:paraId="2E852CBF" w14:textId="77777777" w:rsidR="00085980" w:rsidRPr="00322D59" w:rsidRDefault="00085980" w:rsidP="00B653E7">
            <w:pPr>
              <w:rPr>
                <w:rFonts w:cstheme="minorHAnsi"/>
                <w:b/>
                <w:color w:val="000000" w:themeColor="text1"/>
              </w:rPr>
            </w:pPr>
            <w:r w:rsidRPr="00322D59">
              <w:rPr>
                <w:rFonts w:cstheme="minorHAnsi"/>
                <w:b/>
                <w:color w:val="000000" w:themeColor="text1"/>
              </w:rPr>
              <w:t>Marriage or civil partnership</w:t>
            </w:r>
          </w:p>
        </w:tc>
        <w:tc>
          <w:tcPr>
            <w:tcW w:w="2236" w:type="dxa"/>
          </w:tcPr>
          <w:p w14:paraId="636888F2" w14:textId="77777777" w:rsidR="005F0F19" w:rsidRPr="008D772C" w:rsidRDefault="005F0F19" w:rsidP="005F0F19">
            <w:pPr>
              <w:rPr>
                <w:rFonts w:cstheme="minorHAnsi"/>
              </w:rPr>
            </w:pPr>
            <w:r w:rsidRPr="008D772C">
              <w:rPr>
                <w:rFonts w:cstheme="minorHAnsi"/>
              </w:rPr>
              <w:t xml:space="preserve">None identified </w:t>
            </w:r>
          </w:p>
          <w:p w14:paraId="1E0B98ED" w14:textId="77777777" w:rsidR="006A027C" w:rsidRPr="004545A3" w:rsidRDefault="006A027C" w:rsidP="005F0F19">
            <w:pPr>
              <w:rPr>
                <w:rFonts w:cstheme="minorHAnsi"/>
              </w:rPr>
            </w:pPr>
          </w:p>
        </w:tc>
        <w:tc>
          <w:tcPr>
            <w:tcW w:w="2266" w:type="dxa"/>
          </w:tcPr>
          <w:p w14:paraId="3DF66C80" w14:textId="77777777" w:rsidR="00085980" w:rsidRPr="004545A3" w:rsidRDefault="00085980" w:rsidP="00B653E7">
            <w:pPr>
              <w:rPr>
                <w:rFonts w:cstheme="minorHAnsi"/>
              </w:rPr>
            </w:pPr>
          </w:p>
        </w:tc>
        <w:tc>
          <w:tcPr>
            <w:tcW w:w="2250" w:type="dxa"/>
          </w:tcPr>
          <w:p w14:paraId="31AD5161" w14:textId="59B13DE4" w:rsidR="00085980" w:rsidRPr="004545A3" w:rsidRDefault="6D3C1EA8" w:rsidP="098AB3BC">
            <w:pPr>
              <w:rPr>
                <w:b/>
                <w:bCs/>
              </w:rPr>
            </w:pPr>
            <w:r w:rsidRPr="098AB3BC">
              <w:t>A</w:t>
            </w:r>
            <w:r w:rsidR="002C5C6A" w:rsidRPr="098AB3BC">
              <w:t>pplicants are not asked to disclose their marital status. Standard EPSRC policies will be followed.</w:t>
            </w:r>
          </w:p>
        </w:tc>
      </w:tr>
      <w:tr w:rsidR="00085980" w:rsidRPr="00322D59" w14:paraId="3FAE55E1" w14:textId="77777777" w:rsidTr="098AB3BC">
        <w:tc>
          <w:tcPr>
            <w:tcW w:w="2264" w:type="dxa"/>
            <w:shd w:val="clear" w:color="auto" w:fill="C6D9F1" w:themeFill="text2" w:themeFillTint="33"/>
          </w:tcPr>
          <w:p w14:paraId="66186928" w14:textId="77777777" w:rsidR="00085980" w:rsidRPr="00322D59" w:rsidRDefault="00085980" w:rsidP="00B653E7">
            <w:pPr>
              <w:rPr>
                <w:rFonts w:cstheme="minorHAnsi"/>
                <w:b/>
                <w:color w:val="000000" w:themeColor="text1"/>
              </w:rPr>
            </w:pPr>
            <w:r w:rsidRPr="00322D59">
              <w:rPr>
                <w:rFonts w:cstheme="minorHAnsi"/>
                <w:b/>
                <w:color w:val="000000" w:themeColor="text1"/>
              </w:rPr>
              <w:t>Pregnancy and maternity</w:t>
            </w:r>
          </w:p>
        </w:tc>
        <w:tc>
          <w:tcPr>
            <w:tcW w:w="2236" w:type="dxa"/>
          </w:tcPr>
          <w:p w14:paraId="39455B4A" w14:textId="77777777" w:rsidR="00673D82" w:rsidRPr="004545A3" w:rsidRDefault="00673D82" w:rsidP="00673D82">
            <w:pPr>
              <w:rPr>
                <w:rFonts w:cstheme="minorHAnsi"/>
              </w:rPr>
            </w:pPr>
            <w:r>
              <w:rPr>
                <w:rFonts w:cstheme="minorHAnsi"/>
              </w:rPr>
              <w:t>Potentially negative</w:t>
            </w:r>
          </w:p>
          <w:p w14:paraId="51870C94" w14:textId="77777777" w:rsidR="00085980" w:rsidRPr="004545A3" w:rsidRDefault="00085980" w:rsidP="00085980">
            <w:pPr>
              <w:rPr>
                <w:rFonts w:cstheme="minorHAnsi"/>
              </w:rPr>
            </w:pPr>
          </w:p>
          <w:p w14:paraId="44FA7CEE" w14:textId="77777777" w:rsidR="008E7EE5" w:rsidRPr="004545A3" w:rsidRDefault="008E7EE5" w:rsidP="00085980">
            <w:pPr>
              <w:rPr>
                <w:rFonts w:cstheme="minorHAnsi"/>
              </w:rPr>
            </w:pPr>
          </w:p>
          <w:p w14:paraId="58979744" w14:textId="77777777" w:rsidR="008E7EE5" w:rsidRPr="004545A3" w:rsidRDefault="008E7EE5" w:rsidP="00085980">
            <w:pPr>
              <w:rPr>
                <w:rFonts w:cstheme="minorHAnsi"/>
              </w:rPr>
            </w:pPr>
          </w:p>
          <w:p w14:paraId="4A92FF9E" w14:textId="77777777" w:rsidR="006A027C" w:rsidRPr="004545A3" w:rsidRDefault="006A027C" w:rsidP="00085980">
            <w:pPr>
              <w:rPr>
                <w:rFonts w:cstheme="minorHAnsi"/>
              </w:rPr>
            </w:pPr>
          </w:p>
        </w:tc>
        <w:tc>
          <w:tcPr>
            <w:tcW w:w="2266" w:type="dxa"/>
          </w:tcPr>
          <w:p w14:paraId="4211C896" w14:textId="2B37C207" w:rsidR="00450A52" w:rsidRPr="00450A52" w:rsidRDefault="00450A52" w:rsidP="00450A52">
            <w:pPr>
              <w:rPr>
                <w:rFonts w:cstheme="minorHAnsi"/>
              </w:rPr>
            </w:pPr>
            <w:r w:rsidRPr="00450A52">
              <w:rPr>
                <w:rFonts w:cstheme="minorHAnsi"/>
              </w:rPr>
              <w:t>Depends on individual circumstances. Applicants may be on parental leave when the call is open</w:t>
            </w:r>
            <w:r w:rsidR="0039715A">
              <w:rPr>
                <w:rFonts w:cstheme="minorHAnsi"/>
              </w:rPr>
              <w:t xml:space="preserve"> and/or</w:t>
            </w:r>
            <w:r w:rsidRPr="00450A52">
              <w:rPr>
                <w:rFonts w:cstheme="minorHAnsi"/>
              </w:rPr>
              <w:t xml:space="preserve"> assessment. Panel members may have additional requirements associated with caring responsibilities or pregnancy. </w:t>
            </w:r>
          </w:p>
          <w:p w14:paraId="04652A2B" w14:textId="2AAEB392" w:rsidR="00507A03" w:rsidRPr="004545A3" w:rsidRDefault="00507A03" w:rsidP="00450A52">
            <w:pPr>
              <w:rPr>
                <w:rFonts w:cstheme="minorHAnsi"/>
              </w:rPr>
            </w:pPr>
          </w:p>
        </w:tc>
        <w:tc>
          <w:tcPr>
            <w:tcW w:w="2250" w:type="dxa"/>
          </w:tcPr>
          <w:p w14:paraId="7E4A3713" w14:textId="77777777" w:rsidR="003D67D3" w:rsidRPr="008D772C" w:rsidRDefault="003D67D3" w:rsidP="003D67D3">
            <w:pPr>
              <w:rPr>
                <w:rFonts w:cstheme="minorHAnsi"/>
                <w:bCs/>
              </w:rPr>
            </w:pPr>
            <w:r w:rsidRPr="008D772C">
              <w:rPr>
                <w:rFonts w:cstheme="minorHAnsi"/>
                <w:bCs/>
              </w:rPr>
              <w:t>EPSRC policies for offering support to those with caring responsibilities will be followed and panel members and applicants will be made aware of these.</w:t>
            </w:r>
          </w:p>
          <w:p w14:paraId="002FBE88" w14:textId="77777777" w:rsidR="003D67D3" w:rsidRPr="008D772C" w:rsidRDefault="003D67D3" w:rsidP="003D67D3">
            <w:pPr>
              <w:rPr>
                <w:rFonts w:cstheme="minorHAnsi"/>
                <w:bCs/>
              </w:rPr>
            </w:pPr>
          </w:p>
          <w:p w14:paraId="380F57F6" w14:textId="79FCCB69" w:rsidR="00085980" w:rsidRPr="004545A3" w:rsidRDefault="00445DE8" w:rsidP="003D67D3">
            <w:pPr>
              <w:rPr>
                <w:rFonts w:cstheme="minorHAnsi"/>
              </w:rPr>
            </w:pPr>
            <w:r w:rsidRPr="00445DE8">
              <w:rPr>
                <w:rFonts w:cstheme="minorHAnsi"/>
                <w:bCs/>
              </w:rPr>
              <w:t xml:space="preserve">Provision for parental leave (including maternity leave, paternity leave and leave related to surrogacy and adoption) are covered </w:t>
            </w:r>
            <w:r w:rsidRPr="00445DE8">
              <w:rPr>
                <w:rFonts w:cstheme="minorHAnsi"/>
                <w:bCs/>
              </w:rPr>
              <w:lastRenderedPageBreak/>
              <w:t>in the UKRI terms and conditions.</w:t>
            </w:r>
          </w:p>
        </w:tc>
      </w:tr>
      <w:tr w:rsidR="00085980" w:rsidRPr="00322D59" w14:paraId="2DC25A1A" w14:textId="77777777" w:rsidTr="098AB3BC">
        <w:tc>
          <w:tcPr>
            <w:tcW w:w="2264" w:type="dxa"/>
            <w:shd w:val="clear" w:color="auto" w:fill="C6D9F1" w:themeFill="text2" w:themeFillTint="33"/>
          </w:tcPr>
          <w:p w14:paraId="1E216697" w14:textId="77777777" w:rsidR="00085980" w:rsidRPr="00322D59" w:rsidRDefault="00085980" w:rsidP="00B653E7">
            <w:pPr>
              <w:rPr>
                <w:rFonts w:cstheme="minorHAnsi"/>
                <w:b/>
                <w:color w:val="000000" w:themeColor="text1"/>
              </w:rPr>
            </w:pPr>
            <w:r w:rsidRPr="00322D59">
              <w:rPr>
                <w:rFonts w:cstheme="minorHAnsi"/>
                <w:b/>
                <w:color w:val="000000" w:themeColor="text1"/>
              </w:rPr>
              <w:lastRenderedPageBreak/>
              <w:t>Race</w:t>
            </w:r>
          </w:p>
        </w:tc>
        <w:tc>
          <w:tcPr>
            <w:tcW w:w="2236" w:type="dxa"/>
          </w:tcPr>
          <w:p w14:paraId="73AE0AD5" w14:textId="7A1E7B89" w:rsidR="006D7320" w:rsidRPr="008D772C" w:rsidRDefault="007A5481" w:rsidP="006D7320">
            <w:pPr>
              <w:rPr>
                <w:rFonts w:cstheme="minorHAnsi"/>
              </w:rPr>
            </w:pPr>
            <w:r>
              <w:rPr>
                <w:rFonts w:cstheme="minorHAnsi"/>
              </w:rPr>
              <w:t>None identified</w:t>
            </w:r>
          </w:p>
          <w:p w14:paraId="06B5E17E" w14:textId="77777777" w:rsidR="008E7EE5" w:rsidRPr="004545A3" w:rsidRDefault="008E7EE5" w:rsidP="00451B8A">
            <w:pPr>
              <w:rPr>
                <w:rFonts w:cstheme="minorHAnsi"/>
              </w:rPr>
            </w:pPr>
          </w:p>
        </w:tc>
        <w:tc>
          <w:tcPr>
            <w:tcW w:w="2266" w:type="dxa"/>
          </w:tcPr>
          <w:p w14:paraId="0A985F4A" w14:textId="3972520B" w:rsidR="00085980" w:rsidRPr="004545A3" w:rsidRDefault="00085980" w:rsidP="00B653E7">
            <w:pPr>
              <w:rPr>
                <w:rFonts w:cstheme="minorHAnsi"/>
              </w:rPr>
            </w:pPr>
          </w:p>
        </w:tc>
        <w:tc>
          <w:tcPr>
            <w:tcW w:w="2250" w:type="dxa"/>
          </w:tcPr>
          <w:p w14:paraId="128C5C6C" w14:textId="790F5AE1" w:rsidR="00085980" w:rsidRPr="004545A3" w:rsidRDefault="00484FDA" w:rsidP="00B653E7">
            <w:pPr>
              <w:rPr>
                <w:rFonts w:cstheme="minorHAnsi"/>
              </w:rPr>
            </w:pPr>
            <w:r w:rsidRPr="00484FDA">
              <w:rPr>
                <w:rFonts w:cstheme="minorHAnsi"/>
                <w:bCs/>
              </w:rPr>
              <w:t>Standard EPSRC Policies will be followed.</w:t>
            </w:r>
          </w:p>
        </w:tc>
      </w:tr>
      <w:tr w:rsidR="00085980" w:rsidRPr="00322D59" w14:paraId="06164629" w14:textId="77777777" w:rsidTr="098AB3BC">
        <w:tc>
          <w:tcPr>
            <w:tcW w:w="2264" w:type="dxa"/>
            <w:shd w:val="clear" w:color="auto" w:fill="C6D9F1" w:themeFill="text2" w:themeFillTint="33"/>
          </w:tcPr>
          <w:p w14:paraId="14075A22" w14:textId="77777777" w:rsidR="00085980" w:rsidRPr="00322D59" w:rsidRDefault="00085980" w:rsidP="00B653E7">
            <w:pPr>
              <w:rPr>
                <w:rFonts w:cstheme="minorHAnsi"/>
                <w:b/>
                <w:color w:val="000000" w:themeColor="text1"/>
              </w:rPr>
            </w:pPr>
            <w:r w:rsidRPr="00322D59">
              <w:rPr>
                <w:rFonts w:cstheme="minorHAnsi"/>
                <w:b/>
                <w:color w:val="000000" w:themeColor="text1"/>
              </w:rPr>
              <w:t>Religion or belief</w:t>
            </w:r>
          </w:p>
        </w:tc>
        <w:tc>
          <w:tcPr>
            <w:tcW w:w="2236" w:type="dxa"/>
          </w:tcPr>
          <w:p w14:paraId="71CF5F31" w14:textId="77777777" w:rsidR="00426674" w:rsidRPr="004545A3" w:rsidRDefault="00426674" w:rsidP="00426674">
            <w:pPr>
              <w:rPr>
                <w:rFonts w:cstheme="minorHAnsi"/>
              </w:rPr>
            </w:pPr>
            <w:r>
              <w:rPr>
                <w:rFonts w:cstheme="minorHAnsi"/>
              </w:rPr>
              <w:t>Potentially negative</w:t>
            </w:r>
          </w:p>
          <w:p w14:paraId="79199726" w14:textId="77777777" w:rsidR="00085980" w:rsidRPr="004545A3" w:rsidRDefault="00085980" w:rsidP="00085980">
            <w:pPr>
              <w:rPr>
                <w:rFonts w:cstheme="minorHAnsi"/>
              </w:rPr>
            </w:pPr>
          </w:p>
          <w:p w14:paraId="65C893F9" w14:textId="77777777" w:rsidR="006A027C" w:rsidRPr="004545A3" w:rsidRDefault="006A027C" w:rsidP="00085980">
            <w:pPr>
              <w:rPr>
                <w:rFonts w:cstheme="minorHAnsi"/>
              </w:rPr>
            </w:pPr>
          </w:p>
          <w:p w14:paraId="5AE1AB5F" w14:textId="77777777" w:rsidR="008E7EE5" w:rsidRPr="004545A3" w:rsidRDefault="008E7EE5" w:rsidP="00085980">
            <w:pPr>
              <w:rPr>
                <w:rFonts w:cstheme="minorHAnsi"/>
              </w:rPr>
            </w:pPr>
          </w:p>
          <w:p w14:paraId="1E783547" w14:textId="77777777" w:rsidR="008E7EE5" w:rsidRPr="004545A3" w:rsidRDefault="008E7EE5" w:rsidP="00085980">
            <w:pPr>
              <w:rPr>
                <w:rFonts w:cstheme="minorHAnsi"/>
              </w:rPr>
            </w:pPr>
          </w:p>
        </w:tc>
        <w:tc>
          <w:tcPr>
            <w:tcW w:w="2266" w:type="dxa"/>
          </w:tcPr>
          <w:p w14:paraId="429427FA" w14:textId="77777777" w:rsidR="00B37E32" w:rsidRPr="00B37E32" w:rsidRDefault="00B37E32" w:rsidP="00B37E32">
            <w:pPr>
              <w:rPr>
                <w:rFonts w:cstheme="minorHAnsi"/>
              </w:rPr>
            </w:pPr>
            <w:r w:rsidRPr="00B37E32">
              <w:rPr>
                <w:rFonts w:cstheme="minorHAnsi"/>
              </w:rPr>
              <w:t>Depends on individual circumstance.</w:t>
            </w:r>
          </w:p>
          <w:p w14:paraId="48CE86AC" w14:textId="77777777" w:rsidR="00B37E32" w:rsidRPr="00B37E32" w:rsidRDefault="00B37E32" w:rsidP="00B37E32">
            <w:pPr>
              <w:rPr>
                <w:rFonts w:cstheme="minorHAnsi"/>
              </w:rPr>
            </w:pPr>
          </w:p>
          <w:p w14:paraId="04A0AF80" w14:textId="3611610E" w:rsidR="00085980" w:rsidRPr="004545A3" w:rsidRDefault="00B37E32" w:rsidP="00B37E32">
            <w:pPr>
              <w:rPr>
                <w:rFonts w:cstheme="minorHAnsi"/>
              </w:rPr>
            </w:pPr>
            <w:r w:rsidRPr="00B37E32">
              <w:rPr>
                <w:rFonts w:cstheme="minorHAnsi"/>
              </w:rPr>
              <w:t>Participation could be affected by coincidence with religious holidays.</w:t>
            </w:r>
          </w:p>
        </w:tc>
        <w:tc>
          <w:tcPr>
            <w:tcW w:w="2250" w:type="dxa"/>
          </w:tcPr>
          <w:p w14:paraId="237978A6" w14:textId="3F3B5194" w:rsidR="00A04410" w:rsidRPr="00426674" w:rsidRDefault="002A4718" w:rsidP="00B653E7">
            <w:pPr>
              <w:rPr>
                <w:rFonts w:cstheme="minorHAnsi"/>
                <w:bCs/>
              </w:rPr>
            </w:pPr>
            <w:r w:rsidRPr="002A4718">
              <w:rPr>
                <w:rFonts w:cstheme="minorHAnsi"/>
                <w:bCs/>
              </w:rPr>
              <w:t>EPSRC endeavours to select dates that a cognisant of major holidays (e.g., panel dates will try to avoid being held during religious holidays.)</w:t>
            </w:r>
          </w:p>
        </w:tc>
      </w:tr>
      <w:tr w:rsidR="00085980" w:rsidRPr="00322D59" w14:paraId="6731060A" w14:textId="77777777" w:rsidTr="098AB3BC">
        <w:tc>
          <w:tcPr>
            <w:tcW w:w="2264" w:type="dxa"/>
            <w:shd w:val="clear" w:color="auto" w:fill="C6D9F1" w:themeFill="text2" w:themeFillTint="33"/>
          </w:tcPr>
          <w:p w14:paraId="1F8E3BCF" w14:textId="77777777" w:rsidR="00085980" w:rsidRPr="00322D59" w:rsidRDefault="00085980" w:rsidP="00B653E7">
            <w:pPr>
              <w:rPr>
                <w:rFonts w:cstheme="minorHAnsi"/>
                <w:b/>
                <w:color w:val="000000" w:themeColor="text1"/>
              </w:rPr>
            </w:pPr>
            <w:r w:rsidRPr="00322D59">
              <w:rPr>
                <w:rFonts w:cstheme="minorHAnsi"/>
                <w:b/>
                <w:color w:val="000000" w:themeColor="text1"/>
              </w:rPr>
              <w:t>Sexual orientation</w:t>
            </w:r>
          </w:p>
        </w:tc>
        <w:tc>
          <w:tcPr>
            <w:tcW w:w="2236" w:type="dxa"/>
          </w:tcPr>
          <w:p w14:paraId="504C4D49" w14:textId="77777777" w:rsidR="002A4718" w:rsidRPr="008D772C" w:rsidRDefault="002A4718" w:rsidP="002A4718">
            <w:pPr>
              <w:rPr>
                <w:rFonts w:cstheme="minorHAnsi"/>
              </w:rPr>
            </w:pPr>
            <w:r>
              <w:rPr>
                <w:rFonts w:cstheme="minorHAnsi"/>
              </w:rPr>
              <w:t>None identified</w:t>
            </w:r>
          </w:p>
          <w:p w14:paraId="5E955C3A" w14:textId="77777777" w:rsidR="008E7EE5" w:rsidRPr="004545A3" w:rsidRDefault="008E7EE5" w:rsidP="007E23BE">
            <w:pPr>
              <w:rPr>
                <w:rFonts w:cstheme="minorHAnsi"/>
              </w:rPr>
            </w:pPr>
          </w:p>
        </w:tc>
        <w:tc>
          <w:tcPr>
            <w:tcW w:w="2266" w:type="dxa"/>
          </w:tcPr>
          <w:p w14:paraId="23000526" w14:textId="1C3302F6" w:rsidR="00085980" w:rsidRPr="004545A3" w:rsidRDefault="00085980" w:rsidP="00B653E7">
            <w:pPr>
              <w:rPr>
                <w:rFonts w:cstheme="minorHAnsi"/>
                <w:b/>
              </w:rPr>
            </w:pPr>
          </w:p>
        </w:tc>
        <w:tc>
          <w:tcPr>
            <w:tcW w:w="2250" w:type="dxa"/>
          </w:tcPr>
          <w:p w14:paraId="52D241BE" w14:textId="1966F4CB" w:rsidR="00085980" w:rsidRPr="004545A3" w:rsidRDefault="00D10A24" w:rsidP="00B653E7">
            <w:pPr>
              <w:rPr>
                <w:rFonts w:cstheme="minorHAnsi"/>
                <w:b/>
              </w:rPr>
            </w:pPr>
            <w:r w:rsidRPr="00D10A24">
              <w:rPr>
                <w:rFonts w:cstheme="minorHAnsi"/>
                <w:bCs/>
              </w:rPr>
              <w:t>Standard EPSRC Policies will be followed.</w:t>
            </w:r>
          </w:p>
        </w:tc>
      </w:tr>
      <w:tr w:rsidR="00085980" w:rsidRPr="00322D59" w14:paraId="73BF1AC5" w14:textId="77777777" w:rsidTr="098AB3BC">
        <w:tc>
          <w:tcPr>
            <w:tcW w:w="2264" w:type="dxa"/>
            <w:shd w:val="clear" w:color="auto" w:fill="C6D9F1" w:themeFill="text2" w:themeFillTint="33"/>
          </w:tcPr>
          <w:p w14:paraId="5EC19CAD" w14:textId="77777777" w:rsidR="00085980" w:rsidRPr="00322D59" w:rsidRDefault="00085980" w:rsidP="00B653E7">
            <w:pPr>
              <w:rPr>
                <w:rFonts w:cstheme="minorHAnsi"/>
                <w:b/>
                <w:color w:val="000000" w:themeColor="text1"/>
              </w:rPr>
            </w:pPr>
            <w:r w:rsidRPr="00322D59">
              <w:rPr>
                <w:rFonts w:cstheme="minorHAnsi"/>
                <w:b/>
                <w:color w:val="000000" w:themeColor="text1"/>
              </w:rPr>
              <w:t>Sex (gender)</w:t>
            </w:r>
          </w:p>
        </w:tc>
        <w:tc>
          <w:tcPr>
            <w:tcW w:w="2236" w:type="dxa"/>
          </w:tcPr>
          <w:p w14:paraId="3143ACFC" w14:textId="3DA7F001" w:rsidR="006A027C" w:rsidRPr="004545A3" w:rsidRDefault="003456FF" w:rsidP="00C713BA">
            <w:pPr>
              <w:rPr>
                <w:rFonts w:cstheme="minorHAnsi"/>
              </w:rPr>
            </w:pPr>
            <w:r>
              <w:rPr>
                <w:rFonts w:cstheme="minorHAnsi"/>
              </w:rPr>
              <w:t>None identfied</w:t>
            </w:r>
          </w:p>
        </w:tc>
        <w:tc>
          <w:tcPr>
            <w:tcW w:w="2266" w:type="dxa"/>
          </w:tcPr>
          <w:p w14:paraId="0C50126C" w14:textId="2F2A10D7" w:rsidR="00085980" w:rsidRPr="004545A3" w:rsidRDefault="00085980" w:rsidP="00B653E7">
            <w:pPr>
              <w:rPr>
                <w:rFonts w:cstheme="minorHAnsi"/>
              </w:rPr>
            </w:pPr>
          </w:p>
        </w:tc>
        <w:tc>
          <w:tcPr>
            <w:tcW w:w="2250" w:type="dxa"/>
          </w:tcPr>
          <w:p w14:paraId="1C62878F" w14:textId="77777777" w:rsidR="00085980" w:rsidRPr="009D2D98" w:rsidRDefault="008221F6" w:rsidP="00CE0A6F">
            <w:pPr>
              <w:rPr>
                <w:rFonts w:cstheme="minorHAnsi"/>
                <w:bCs/>
              </w:rPr>
            </w:pPr>
            <w:r w:rsidRPr="009D2D98">
              <w:rPr>
                <w:rFonts w:cstheme="minorHAnsi"/>
                <w:bCs/>
              </w:rPr>
              <w:t>Gender neutral language will be used throughout and will be encouraged at panel meetings.</w:t>
            </w:r>
          </w:p>
          <w:p w14:paraId="0AF72802" w14:textId="77777777" w:rsidR="009D2D98" w:rsidRPr="00195922" w:rsidRDefault="009D2D98" w:rsidP="009D2D98">
            <w:pPr>
              <w:rPr>
                <w:rFonts w:cstheme="minorHAnsi"/>
                <w:bCs/>
              </w:rPr>
            </w:pPr>
            <w:r w:rsidRPr="009D2D98">
              <w:rPr>
                <w:rFonts w:cstheme="minorHAnsi"/>
                <w:bCs/>
              </w:rPr>
              <w:t xml:space="preserve">Efforts will be made to select gender diverse panellists and reviewers. </w:t>
            </w:r>
          </w:p>
          <w:p w14:paraId="76DF68A9" w14:textId="1EFE49D1" w:rsidR="009D2D98" w:rsidRPr="00AF2721" w:rsidRDefault="009D2D98" w:rsidP="00CE0A6F">
            <w:pPr>
              <w:rPr>
                <w:rFonts w:cstheme="minorHAnsi"/>
                <w:bCs/>
              </w:rPr>
            </w:pPr>
          </w:p>
        </w:tc>
      </w:tr>
      <w:tr w:rsidR="00512644" w:rsidRPr="00322D59" w14:paraId="06CC1807" w14:textId="77777777" w:rsidTr="098AB3BC">
        <w:tc>
          <w:tcPr>
            <w:tcW w:w="2264" w:type="dxa"/>
            <w:shd w:val="clear" w:color="auto" w:fill="C6D9F1" w:themeFill="text2" w:themeFillTint="33"/>
          </w:tcPr>
          <w:p w14:paraId="0572EFAE" w14:textId="77777777" w:rsidR="00512644" w:rsidRPr="00322D59" w:rsidRDefault="00512644" w:rsidP="00512644">
            <w:pPr>
              <w:rPr>
                <w:rFonts w:cstheme="minorHAnsi"/>
                <w:b/>
                <w:color w:val="000000" w:themeColor="text1"/>
              </w:rPr>
            </w:pPr>
            <w:r w:rsidRPr="00322D59">
              <w:rPr>
                <w:rFonts w:cstheme="minorHAnsi"/>
                <w:b/>
                <w:color w:val="000000" w:themeColor="text1"/>
              </w:rPr>
              <w:t>Age</w:t>
            </w:r>
          </w:p>
        </w:tc>
        <w:tc>
          <w:tcPr>
            <w:tcW w:w="2236" w:type="dxa"/>
          </w:tcPr>
          <w:p w14:paraId="5F724DE1" w14:textId="784B60A8" w:rsidR="00512644" w:rsidRPr="004545A3" w:rsidRDefault="009D2D98" w:rsidP="00512644">
            <w:pPr>
              <w:rPr>
                <w:rFonts w:cstheme="minorHAnsi"/>
              </w:rPr>
            </w:pPr>
            <w:r>
              <w:rPr>
                <w:rFonts w:cstheme="minorHAnsi"/>
              </w:rPr>
              <w:t>None identfied</w:t>
            </w:r>
          </w:p>
        </w:tc>
        <w:tc>
          <w:tcPr>
            <w:tcW w:w="2266" w:type="dxa"/>
          </w:tcPr>
          <w:p w14:paraId="3F229FDB" w14:textId="203EC940" w:rsidR="00512644" w:rsidRPr="004545A3" w:rsidRDefault="00512644" w:rsidP="00512644">
            <w:pPr>
              <w:rPr>
                <w:rFonts w:cstheme="minorHAnsi"/>
              </w:rPr>
            </w:pPr>
          </w:p>
        </w:tc>
        <w:tc>
          <w:tcPr>
            <w:tcW w:w="2250" w:type="dxa"/>
          </w:tcPr>
          <w:p w14:paraId="2E5B7CB6" w14:textId="4CFA04B1" w:rsidR="00512644" w:rsidRPr="004545A3" w:rsidRDefault="00E43CAD" w:rsidP="00512644">
            <w:pPr>
              <w:rPr>
                <w:rFonts w:cstheme="minorHAnsi"/>
                <w:b/>
              </w:rPr>
            </w:pPr>
            <w:r w:rsidRPr="00E43CAD">
              <w:rPr>
                <w:rFonts w:cstheme="minorHAnsi"/>
                <w:bCs/>
              </w:rPr>
              <w:t>Standard EPSRC policies will also be followed. All staff are trained in unconscious bias, and the principles of this training upheld in panel discussions.</w:t>
            </w:r>
          </w:p>
        </w:tc>
      </w:tr>
      <w:tr w:rsidR="00512644" w:rsidRPr="00322D59" w14:paraId="1C323B28" w14:textId="77777777" w:rsidTr="098AB3BC">
        <w:tc>
          <w:tcPr>
            <w:tcW w:w="2264" w:type="dxa"/>
            <w:shd w:val="clear" w:color="auto" w:fill="C6D9F1" w:themeFill="text2" w:themeFillTint="33"/>
          </w:tcPr>
          <w:p w14:paraId="5EC28A13" w14:textId="5D7CB018" w:rsidR="00512644" w:rsidRPr="00322D59" w:rsidRDefault="00512644" w:rsidP="00512644">
            <w:pPr>
              <w:rPr>
                <w:rFonts w:cstheme="minorHAnsi"/>
                <w:b/>
                <w:color w:val="000000" w:themeColor="text1"/>
              </w:rPr>
            </w:pPr>
            <w:r>
              <w:rPr>
                <w:rFonts w:cstheme="minorHAnsi"/>
                <w:b/>
                <w:color w:val="000000" w:themeColor="text1"/>
              </w:rPr>
              <w:t>Additional aspects (not covered by a protected characteristic)</w:t>
            </w:r>
          </w:p>
        </w:tc>
        <w:tc>
          <w:tcPr>
            <w:tcW w:w="2236" w:type="dxa"/>
          </w:tcPr>
          <w:p w14:paraId="6837EA52" w14:textId="77777777" w:rsidR="00512644" w:rsidRPr="004545A3" w:rsidRDefault="00512644" w:rsidP="00512644">
            <w:pPr>
              <w:rPr>
                <w:rFonts w:cstheme="minorHAnsi"/>
              </w:rPr>
            </w:pPr>
          </w:p>
          <w:p w14:paraId="44252973" w14:textId="77777777" w:rsidR="00512644" w:rsidRPr="004545A3" w:rsidRDefault="00512644" w:rsidP="00512644">
            <w:pPr>
              <w:rPr>
                <w:rFonts w:cstheme="minorHAnsi"/>
              </w:rPr>
            </w:pPr>
          </w:p>
          <w:p w14:paraId="60B3FC90" w14:textId="77777777" w:rsidR="00512644" w:rsidRPr="004545A3" w:rsidRDefault="00512644" w:rsidP="00512644">
            <w:pPr>
              <w:rPr>
                <w:rFonts w:cstheme="minorHAnsi"/>
              </w:rPr>
            </w:pPr>
          </w:p>
          <w:p w14:paraId="73ED0DB4" w14:textId="77777777" w:rsidR="00512644" w:rsidRPr="004545A3" w:rsidRDefault="00512644" w:rsidP="00512644">
            <w:pPr>
              <w:rPr>
                <w:rFonts w:cstheme="minorHAnsi"/>
              </w:rPr>
            </w:pPr>
          </w:p>
        </w:tc>
        <w:tc>
          <w:tcPr>
            <w:tcW w:w="2266" w:type="dxa"/>
          </w:tcPr>
          <w:p w14:paraId="6833BA15" w14:textId="77777777" w:rsidR="00512644" w:rsidRPr="004545A3" w:rsidRDefault="00512644" w:rsidP="00512644">
            <w:pPr>
              <w:rPr>
                <w:rFonts w:cstheme="minorHAnsi"/>
              </w:rPr>
            </w:pPr>
          </w:p>
        </w:tc>
        <w:tc>
          <w:tcPr>
            <w:tcW w:w="2250" w:type="dxa"/>
          </w:tcPr>
          <w:p w14:paraId="2376B609" w14:textId="77777777" w:rsidR="00512644" w:rsidRPr="004545A3" w:rsidRDefault="00512644" w:rsidP="00512644">
            <w:pPr>
              <w:rPr>
                <w:rFonts w:cstheme="minorHAnsi"/>
                <w:b/>
              </w:rPr>
            </w:pP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0012321A">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00B653E7">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4D51EB40" w14:textId="77777777" w:rsidR="008825E2" w:rsidRPr="004545A3" w:rsidRDefault="008825E2" w:rsidP="008825E2">
            <w:pPr>
              <w:rPr>
                <w:rFonts w:cstheme="minorHAnsi"/>
              </w:rPr>
            </w:pPr>
            <w:r w:rsidRPr="00195922">
              <w:rPr>
                <w:rFonts w:cstheme="minorHAnsi"/>
              </w:rPr>
              <w:t>A number of risks have been identified and actively considered as part of the call design. These risks have been mitigated as far as possible.</w:t>
            </w:r>
          </w:p>
          <w:p w14:paraId="7A3404AC" w14:textId="21121239" w:rsidR="004545A3" w:rsidRPr="004545A3" w:rsidRDefault="004545A3" w:rsidP="00426674">
            <w:pPr>
              <w:rPr>
                <w:rFonts w:cstheme="minorHAnsi"/>
                <w:color w:val="000000" w:themeColor="text1"/>
              </w:rPr>
            </w:pPr>
          </w:p>
        </w:tc>
      </w:tr>
      <w:tr w:rsidR="00085980" w14:paraId="07B7E41B" w14:textId="77777777" w:rsidTr="0012321A">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B653E7">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0CD89E34" w:rsidR="00085980" w:rsidRPr="004545A3" w:rsidRDefault="00085980" w:rsidP="00B653E7">
            <w:pPr>
              <w:rPr>
                <w:rFonts w:cstheme="minorHAnsi"/>
              </w:rPr>
            </w:pPr>
          </w:p>
        </w:tc>
        <w:tc>
          <w:tcPr>
            <w:tcW w:w="3889" w:type="dxa"/>
          </w:tcPr>
          <w:p w14:paraId="314C414B" w14:textId="3ECE567C" w:rsidR="00085980" w:rsidRPr="004545A3" w:rsidRDefault="00085980" w:rsidP="00B653E7">
            <w:pPr>
              <w:rPr>
                <w:rFonts w:cstheme="minorHAnsi"/>
              </w:rPr>
            </w:pPr>
          </w:p>
        </w:tc>
      </w:tr>
      <w:tr w:rsidR="00085980" w14:paraId="430C6B3C" w14:textId="77777777" w:rsidTr="00B653E7">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00B653E7">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6D39EB7B" w:rsidR="00085980" w:rsidRPr="004545A3" w:rsidRDefault="00D1598A" w:rsidP="00B653E7">
            <w:pPr>
              <w:rPr>
                <w:rFonts w:cstheme="minorHAnsi"/>
              </w:rPr>
            </w:pPr>
            <w:r>
              <w:rPr>
                <w:rFonts w:cstheme="minorHAnsi"/>
              </w:rPr>
              <w:t>X</w:t>
            </w:r>
          </w:p>
        </w:tc>
        <w:tc>
          <w:tcPr>
            <w:tcW w:w="3889" w:type="dxa"/>
          </w:tcPr>
          <w:p w14:paraId="50EC28A7" w14:textId="0EE071CD" w:rsidR="00085980" w:rsidRDefault="00FE4EE6" w:rsidP="00B653E7">
            <w:pPr>
              <w:rPr>
                <w:rFonts w:cstheme="minorHAnsi"/>
              </w:rPr>
            </w:pPr>
            <w:r w:rsidRPr="00195922">
              <w:rPr>
                <w:rFonts w:cstheme="minorHAnsi"/>
              </w:rPr>
              <w:t>Possible risks and bias associated with this activity have been identified and activities adapted accordingly. We will ensure active consideration of ED&amp;I aspects throughout the activity and will review this EIA accordingly.</w:t>
            </w:r>
          </w:p>
          <w:p w14:paraId="5DF5E497" w14:textId="0BBC4693" w:rsidR="00FE4EE6" w:rsidRPr="00FE4EE6" w:rsidRDefault="00FE4EE6" w:rsidP="00FE4EE6">
            <w:pPr>
              <w:rPr>
                <w:rFonts w:cstheme="minorHAnsi"/>
              </w:rPr>
            </w:pPr>
          </w:p>
        </w:tc>
      </w:tr>
      <w:tr w:rsidR="00085980" w14:paraId="482C08DB" w14:textId="77777777" w:rsidTr="00B653E7">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4545A3" w:rsidRDefault="00085980" w:rsidP="00B653E7">
            <w:pPr>
              <w:rPr>
                <w:rFonts w:cstheme="minorHAnsi"/>
              </w:rPr>
            </w:pPr>
          </w:p>
        </w:tc>
        <w:tc>
          <w:tcPr>
            <w:tcW w:w="3889" w:type="dxa"/>
          </w:tcPr>
          <w:p w14:paraId="563B9E12" w14:textId="77777777" w:rsidR="00085980" w:rsidRPr="004545A3" w:rsidRDefault="00085980" w:rsidP="00B653E7">
            <w:pPr>
              <w:rPr>
                <w:rFonts w:cstheme="minorHAnsi"/>
              </w:rPr>
            </w:pP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19"/>
        <w:gridCol w:w="4497"/>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0574CF74" w:rsidR="00085980" w:rsidRPr="00D10282" w:rsidRDefault="00426674" w:rsidP="00B653E7">
            <w:pPr>
              <w:rPr>
                <w:rFonts w:cstheme="minorHAnsi"/>
                <w:b/>
                <w:color w:val="000000" w:themeColor="text1"/>
              </w:rPr>
            </w:pPr>
            <w:r>
              <w:rPr>
                <w:rFonts w:cstheme="minorHAnsi"/>
                <w:b/>
                <w:color w:val="000000" w:themeColor="text1"/>
              </w:rPr>
              <w:t>Yes</w:t>
            </w: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7398C872" w:rsidR="00085980" w:rsidRPr="00D10282" w:rsidRDefault="00085980" w:rsidP="00B653E7">
            <w:pPr>
              <w:rPr>
                <w:rFonts w:cstheme="minorHAnsi"/>
                <w:b/>
                <w:color w:val="000000" w:themeColor="text1"/>
              </w:rPr>
            </w:pP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1D880457" w:rsidR="00140012" w:rsidRPr="00140012" w:rsidRDefault="00140012" w:rsidP="00140012">
            <w:pPr>
              <w:spacing w:after="0" w:line="240" w:lineRule="auto"/>
              <w:rPr>
                <w:rFonts w:cstheme="minorHAnsi"/>
                <w:color w:val="000000" w:themeColor="text1"/>
              </w:rPr>
            </w:pPr>
          </w:p>
        </w:tc>
        <w:tc>
          <w:tcPr>
            <w:tcW w:w="1161" w:type="pct"/>
          </w:tcPr>
          <w:p w14:paraId="41181E89" w14:textId="35F0B746" w:rsidR="00140012" w:rsidRPr="00140012" w:rsidRDefault="00BE2FAE" w:rsidP="00140012">
            <w:pPr>
              <w:spacing w:after="0" w:line="240" w:lineRule="auto"/>
              <w:rPr>
                <w:rFonts w:cstheme="minorHAnsi"/>
                <w:color w:val="000000" w:themeColor="text1"/>
              </w:rPr>
            </w:pPr>
            <w:r>
              <w:rPr>
                <w:rFonts w:cstheme="minorHAnsi"/>
                <w:color w:val="000000" w:themeColor="text1"/>
              </w:rPr>
              <w:t>When published</w:t>
            </w:r>
          </w:p>
        </w:tc>
        <w:tc>
          <w:tcPr>
            <w:tcW w:w="621" w:type="pct"/>
          </w:tcPr>
          <w:p w14:paraId="5558455C" w14:textId="6EB3C933" w:rsidR="00140012" w:rsidRPr="00140012" w:rsidRDefault="00BE2FAE" w:rsidP="00140012">
            <w:pPr>
              <w:spacing w:after="0" w:line="240" w:lineRule="auto"/>
              <w:rPr>
                <w:rFonts w:cstheme="minorHAnsi"/>
                <w:color w:val="000000" w:themeColor="text1"/>
              </w:rPr>
            </w:pPr>
            <w:r>
              <w:rPr>
                <w:rFonts w:cstheme="minorHAnsi"/>
                <w:color w:val="000000" w:themeColor="text1"/>
              </w:rPr>
              <w:t>1</w:t>
            </w:r>
          </w:p>
        </w:tc>
        <w:tc>
          <w:tcPr>
            <w:tcW w:w="2219" w:type="pct"/>
          </w:tcPr>
          <w:p w14:paraId="3669C139" w14:textId="220772AF"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7A81" w14:textId="77777777" w:rsidR="00EF02A4" w:rsidRDefault="00EF02A4" w:rsidP="000D1683">
      <w:pPr>
        <w:spacing w:after="0" w:line="240" w:lineRule="auto"/>
      </w:pPr>
      <w:r>
        <w:separator/>
      </w:r>
    </w:p>
  </w:endnote>
  <w:endnote w:type="continuationSeparator" w:id="0">
    <w:p w14:paraId="55D96E3D" w14:textId="77777777" w:rsidR="00EF02A4" w:rsidRDefault="00EF02A4"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918C" w14:textId="77777777" w:rsidR="00EF02A4" w:rsidRDefault="00EF02A4" w:rsidP="000D1683">
      <w:pPr>
        <w:spacing w:after="0" w:line="240" w:lineRule="auto"/>
      </w:pPr>
      <w:r>
        <w:separator/>
      </w:r>
    </w:p>
  </w:footnote>
  <w:footnote w:type="continuationSeparator" w:id="0">
    <w:p w14:paraId="1C271610" w14:textId="77777777" w:rsidR="00EF02A4" w:rsidRDefault="00EF02A4"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02204">
    <w:abstractNumId w:val="12"/>
  </w:num>
  <w:num w:numId="2" w16cid:durableId="454758289">
    <w:abstractNumId w:val="14"/>
  </w:num>
  <w:num w:numId="3" w16cid:durableId="281886534">
    <w:abstractNumId w:val="21"/>
  </w:num>
  <w:num w:numId="4" w16cid:durableId="1159463547">
    <w:abstractNumId w:val="17"/>
  </w:num>
  <w:num w:numId="5" w16cid:durableId="1713866">
    <w:abstractNumId w:val="16"/>
  </w:num>
  <w:num w:numId="6" w16cid:durableId="29112043">
    <w:abstractNumId w:val="0"/>
  </w:num>
  <w:num w:numId="7" w16cid:durableId="1749962438">
    <w:abstractNumId w:val="13"/>
  </w:num>
  <w:num w:numId="8" w16cid:durableId="479732258">
    <w:abstractNumId w:val="15"/>
  </w:num>
  <w:num w:numId="9" w16cid:durableId="1173833017">
    <w:abstractNumId w:val="19"/>
  </w:num>
  <w:num w:numId="10" w16cid:durableId="1164783480">
    <w:abstractNumId w:val="18"/>
  </w:num>
  <w:num w:numId="11" w16cid:durableId="2018313937">
    <w:abstractNumId w:val="7"/>
  </w:num>
  <w:num w:numId="12" w16cid:durableId="2134321211">
    <w:abstractNumId w:val="1"/>
  </w:num>
  <w:num w:numId="13" w16cid:durableId="1198011841">
    <w:abstractNumId w:val="2"/>
  </w:num>
  <w:num w:numId="14" w16cid:durableId="357583513">
    <w:abstractNumId w:val="10"/>
  </w:num>
  <w:num w:numId="15" w16cid:durableId="2116903973">
    <w:abstractNumId w:val="11"/>
  </w:num>
  <w:num w:numId="16" w16cid:durableId="1341810944">
    <w:abstractNumId w:val="9"/>
  </w:num>
  <w:num w:numId="17" w16cid:durableId="1158422040">
    <w:abstractNumId w:val="4"/>
  </w:num>
  <w:num w:numId="18" w16cid:durableId="374235613">
    <w:abstractNumId w:val="8"/>
  </w:num>
  <w:num w:numId="19" w16cid:durableId="726490153">
    <w:abstractNumId w:val="3"/>
  </w:num>
  <w:num w:numId="20" w16cid:durableId="1557933856">
    <w:abstractNumId w:val="20"/>
  </w:num>
  <w:num w:numId="21" w16cid:durableId="228001847">
    <w:abstractNumId w:val="5"/>
  </w:num>
  <w:num w:numId="22" w16cid:durableId="539517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0C67"/>
    <w:rsid w:val="000036B0"/>
    <w:rsid w:val="00013B2A"/>
    <w:rsid w:val="00025537"/>
    <w:rsid w:val="00026FD7"/>
    <w:rsid w:val="000333FE"/>
    <w:rsid w:val="00042121"/>
    <w:rsid w:val="00044EE5"/>
    <w:rsid w:val="00046702"/>
    <w:rsid w:val="000572D4"/>
    <w:rsid w:val="00060EC8"/>
    <w:rsid w:val="00085980"/>
    <w:rsid w:val="00086838"/>
    <w:rsid w:val="000D1683"/>
    <w:rsid w:val="000D7F16"/>
    <w:rsid w:val="000E4BEF"/>
    <w:rsid w:val="000F44F6"/>
    <w:rsid w:val="001067FB"/>
    <w:rsid w:val="00114DC2"/>
    <w:rsid w:val="0012321A"/>
    <w:rsid w:val="0013051E"/>
    <w:rsid w:val="00140012"/>
    <w:rsid w:val="00147180"/>
    <w:rsid w:val="00152A89"/>
    <w:rsid w:val="0017557D"/>
    <w:rsid w:val="00185E31"/>
    <w:rsid w:val="001A6058"/>
    <w:rsid w:val="001A6706"/>
    <w:rsid w:val="001B2F53"/>
    <w:rsid w:val="001B64DD"/>
    <w:rsid w:val="001C6A66"/>
    <w:rsid w:val="001D0B61"/>
    <w:rsid w:val="001D10FA"/>
    <w:rsid w:val="001E042B"/>
    <w:rsid w:val="001E6F33"/>
    <w:rsid w:val="001F5833"/>
    <w:rsid w:val="002003E0"/>
    <w:rsid w:val="002116CF"/>
    <w:rsid w:val="00225889"/>
    <w:rsid w:val="00232F0C"/>
    <w:rsid w:val="00235DDA"/>
    <w:rsid w:val="00257FA8"/>
    <w:rsid w:val="002621F4"/>
    <w:rsid w:val="00265EC7"/>
    <w:rsid w:val="002701D8"/>
    <w:rsid w:val="00272233"/>
    <w:rsid w:val="002777DD"/>
    <w:rsid w:val="00281B4F"/>
    <w:rsid w:val="00287F54"/>
    <w:rsid w:val="002A4718"/>
    <w:rsid w:val="002B6A56"/>
    <w:rsid w:val="002C5C6A"/>
    <w:rsid w:val="002D091D"/>
    <w:rsid w:val="002E31C9"/>
    <w:rsid w:val="002E4FB7"/>
    <w:rsid w:val="002E7989"/>
    <w:rsid w:val="0030084C"/>
    <w:rsid w:val="00304981"/>
    <w:rsid w:val="00312193"/>
    <w:rsid w:val="0031442F"/>
    <w:rsid w:val="003149B2"/>
    <w:rsid w:val="00337F48"/>
    <w:rsid w:val="00341C3E"/>
    <w:rsid w:val="003456FF"/>
    <w:rsid w:val="00373BC9"/>
    <w:rsid w:val="0039715A"/>
    <w:rsid w:val="003B63D0"/>
    <w:rsid w:val="003C1526"/>
    <w:rsid w:val="003D67D3"/>
    <w:rsid w:val="0040127F"/>
    <w:rsid w:val="00407CAC"/>
    <w:rsid w:val="00410F84"/>
    <w:rsid w:val="00421A48"/>
    <w:rsid w:val="00426674"/>
    <w:rsid w:val="0042762E"/>
    <w:rsid w:val="004321D1"/>
    <w:rsid w:val="004326A0"/>
    <w:rsid w:val="00445DE8"/>
    <w:rsid w:val="00450A52"/>
    <w:rsid w:val="00451B8A"/>
    <w:rsid w:val="004545A3"/>
    <w:rsid w:val="0045733D"/>
    <w:rsid w:val="00484FDA"/>
    <w:rsid w:val="00486D41"/>
    <w:rsid w:val="00490F3C"/>
    <w:rsid w:val="00496450"/>
    <w:rsid w:val="004A68E3"/>
    <w:rsid w:val="004D08E1"/>
    <w:rsid w:val="004E7A88"/>
    <w:rsid w:val="004F619C"/>
    <w:rsid w:val="00507A03"/>
    <w:rsid w:val="00512644"/>
    <w:rsid w:val="00512EF1"/>
    <w:rsid w:val="00533BFF"/>
    <w:rsid w:val="005446DD"/>
    <w:rsid w:val="0055034E"/>
    <w:rsid w:val="00551A11"/>
    <w:rsid w:val="00570A3F"/>
    <w:rsid w:val="00582D7D"/>
    <w:rsid w:val="00585DA9"/>
    <w:rsid w:val="00594183"/>
    <w:rsid w:val="005A118C"/>
    <w:rsid w:val="005D41A4"/>
    <w:rsid w:val="005D7A66"/>
    <w:rsid w:val="005E54B9"/>
    <w:rsid w:val="005F0F19"/>
    <w:rsid w:val="005F7D5B"/>
    <w:rsid w:val="00605F3D"/>
    <w:rsid w:val="006100AA"/>
    <w:rsid w:val="00613354"/>
    <w:rsid w:val="00614BBF"/>
    <w:rsid w:val="0063518D"/>
    <w:rsid w:val="00637423"/>
    <w:rsid w:val="00640D79"/>
    <w:rsid w:val="00641A5C"/>
    <w:rsid w:val="00654767"/>
    <w:rsid w:val="0065601D"/>
    <w:rsid w:val="00661CA1"/>
    <w:rsid w:val="00664E75"/>
    <w:rsid w:val="00673D82"/>
    <w:rsid w:val="00680982"/>
    <w:rsid w:val="0069359F"/>
    <w:rsid w:val="006A027C"/>
    <w:rsid w:val="006B450A"/>
    <w:rsid w:val="006B7A5B"/>
    <w:rsid w:val="006D7320"/>
    <w:rsid w:val="007101F4"/>
    <w:rsid w:val="00714BF1"/>
    <w:rsid w:val="0078308D"/>
    <w:rsid w:val="00784ECA"/>
    <w:rsid w:val="0078792C"/>
    <w:rsid w:val="007A4BFB"/>
    <w:rsid w:val="007A5481"/>
    <w:rsid w:val="007C4EF6"/>
    <w:rsid w:val="007C55DF"/>
    <w:rsid w:val="007E23BE"/>
    <w:rsid w:val="00807410"/>
    <w:rsid w:val="00811008"/>
    <w:rsid w:val="0082058D"/>
    <w:rsid w:val="008221F6"/>
    <w:rsid w:val="00842311"/>
    <w:rsid w:val="008459E9"/>
    <w:rsid w:val="0086287D"/>
    <w:rsid w:val="00863105"/>
    <w:rsid w:val="00875260"/>
    <w:rsid w:val="0087595F"/>
    <w:rsid w:val="008825E2"/>
    <w:rsid w:val="00882B2A"/>
    <w:rsid w:val="008917B8"/>
    <w:rsid w:val="008A2B28"/>
    <w:rsid w:val="008A7621"/>
    <w:rsid w:val="008B5715"/>
    <w:rsid w:val="008B672E"/>
    <w:rsid w:val="008B7A3E"/>
    <w:rsid w:val="008C6385"/>
    <w:rsid w:val="008C67E8"/>
    <w:rsid w:val="008E68A2"/>
    <w:rsid w:val="008E6905"/>
    <w:rsid w:val="008E7EE5"/>
    <w:rsid w:val="008F474C"/>
    <w:rsid w:val="00900407"/>
    <w:rsid w:val="00910E5D"/>
    <w:rsid w:val="00922F19"/>
    <w:rsid w:val="00934A83"/>
    <w:rsid w:val="0094461F"/>
    <w:rsid w:val="00977C69"/>
    <w:rsid w:val="00977FD8"/>
    <w:rsid w:val="009845E7"/>
    <w:rsid w:val="009A2149"/>
    <w:rsid w:val="009B7246"/>
    <w:rsid w:val="009C03DC"/>
    <w:rsid w:val="009C07BE"/>
    <w:rsid w:val="009D2D98"/>
    <w:rsid w:val="009E02E6"/>
    <w:rsid w:val="009E7B47"/>
    <w:rsid w:val="009F0254"/>
    <w:rsid w:val="009F201B"/>
    <w:rsid w:val="009F53DB"/>
    <w:rsid w:val="00A0161E"/>
    <w:rsid w:val="00A04410"/>
    <w:rsid w:val="00A0447C"/>
    <w:rsid w:val="00A07032"/>
    <w:rsid w:val="00A2543C"/>
    <w:rsid w:val="00A254F1"/>
    <w:rsid w:val="00A32ED1"/>
    <w:rsid w:val="00A41E33"/>
    <w:rsid w:val="00A4217F"/>
    <w:rsid w:val="00A55355"/>
    <w:rsid w:val="00A60FD7"/>
    <w:rsid w:val="00AC13E7"/>
    <w:rsid w:val="00AC6456"/>
    <w:rsid w:val="00AD6056"/>
    <w:rsid w:val="00AE0663"/>
    <w:rsid w:val="00AE1507"/>
    <w:rsid w:val="00AE5CC2"/>
    <w:rsid w:val="00AF2721"/>
    <w:rsid w:val="00B0751D"/>
    <w:rsid w:val="00B10DBC"/>
    <w:rsid w:val="00B17023"/>
    <w:rsid w:val="00B17DB7"/>
    <w:rsid w:val="00B32C89"/>
    <w:rsid w:val="00B37E32"/>
    <w:rsid w:val="00B55651"/>
    <w:rsid w:val="00B71B19"/>
    <w:rsid w:val="00BA6978"/>
    <w:rsid w:val="00BB141C"/>
    <w:rsid w:val="00BC0BD1"/>
    <w:rsid w:val="00BC2455"/>
    <w:rsid w:val="00BD2B02"/>
    <w:rsid w:val="00BD7386"/>
    <w:rsid w:val="00BD73DA"/>
    <w:rsid w:val="00BD7E49"/>
    <w:rsid w:val="00BE0AB8"/>
    <w:rsid w:val="00BE2D87"/>
    <w:rsid w:val="00BE2FAE"/>
    <w:rsid w:val="00BF0D40"/>
    <w:rsid w:val="00C40435"/>
    <w:rsid w:val="00C44F3C"/>
    <w:rsid w:val="00C60391"/>
    <w:rsid w:val="00C66FE5"/>
    <w:rsid w:val="00C713BA"/>
    <w:rsid w:val="00C85D0E"/>
    <w:rsid w:val="00CB4C60"/>
    <w:rsid w:val="00CC1C2F"/>
    <w:rsid w:val="00CC6020"/>
    <w:rsid w:val="00CC6518"/>
    <w:rsid w:val="00CD13EF"/>
    <w:rsid w:val="00CE0A6F"/>
    <w:rsid w:val="00CF5262"/>
    <w:rsid w:val="00D10A24"/>
    <w:rsid w:val="00D111AC"/>
    <w:rsid w:val="00D125C9"/>
    <w:rsid w:val="00D1598A"/>
    <w:rsid w:val="00D16014"/>
    <w:rsid w:val="00D16AAB"/>
    <w:rsid w:val="00D2001D"/>
    <w:rsid w:val="00D66CE3"/>
    <w:rsid w:val="00D77F7E"/>
    <w:rsid w:val="00D86BB9"/>
    <w:rsid w:val="00D87CBC"/>
    <w:rsid w:val="00D96598"/>
    <w:rsid w:val="00DB03E7"/>
    <w:rsid w:val="00DB15C3"/>
    <w:rsid w:val="00DD30EB"/>
    <w:rsid w:val="00DF3407"/>
    <w:rsid w:val="00E34925"/>
    <w:rsid w:val="00E4117F"/>
    <w:rsid w:val="00E437BE"/>
    <w:rsid w:val="00E43CAD"/>
    <w:rsid w:val="00E50541"/>
    <w:rsid w:val="00E50DF2"/>
    <w:rsid w:val="00E53A75"/>
    <w:rsid w:val="00E55E19"/>
    <w:rsid w:val="00E67BAC"/>
    <w:rsid w:val="00E703BC"/>
    <w:rsid w:val="00E71408"/>
    <w:rsid w:val="00E7543E"/>
    <w:rsid w:val="00E800A6"/>
    <w:rsid w:val="00E84369"/>
    <w:rsid w:val="00EB18B8"/>
    <w:rsid w:val="00EB7CF0"/>
    <w:rsid w:val="00EC0C58"/>
    <w:rsid w:val="00EF02A4"/>
    <w:rsid w:val="00EF510D"/>
    <w:rsid w:val="00EF628A"/>
    <w:rsid w:val="00EF72B3"/>
    <w:rsid w:val="00F202E6"/>
    <w:rsid w:val="00F24022"/>
    <w:rsid w:val="00F259FF"/>
    <w:rsid w:val="00F27B0F"/>
    <w:rsid w:val="00F3604A"/>
    <w:rsid w:val="00F4288A"/>
    <w:rsid w:val="00F4667F"/>
    <w:rsid w:val="00F7750A"/>
    <w:rsid w:val="00FA1C7B"/>
    <w:rsid w:val="00FC0901"/>
    <w:rsid w:val="00FC3E00"/>
    <w:rsid w:val="00FC60DF"/>
    <w:rsid w:val="00FE4EE6"/>
    <w:rsid w:val="00FF3ABB"/>
    <w:rsid w:val="00FF42DC"/>
    <w:rsid w:val="00FF7296"/>
    <w:rsid w:val="00FF7C66"/>
    <w:rsid w:val="04A7F25A"/>
    <w:rsid w:val="08F8AD59"/>
    <w:rsid w:val="098AB3BC"/>
    <w:rsid w:val="6D3C1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4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psrc.ukri.org/funding/applicationprocess/basics/caringresponsibiliti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files/legacy/documents/actionplan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SSVJ533UJCM2-2088875932-15971</_dlc_DocId>
    <_dlc_DocIdUrl xmlns="36ebd4db-6f78-4d9b-a8bd-dda683c55855">
      <Url>https://ukri.sharepoint.com/sites/og_SP-Grants/_layouts/15/DocIdRedir.aspx?ID=SSVJ533UJCM2-2088875932-15971</Url>
      <Description>SSVJ533UJCM2-2088875932-15971</Description>
    </_dlc_DocIdUrl>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documentManagement>
</p:properties>
</file>

<file path=customXml/itemProps1.xml><?xml version="1.0" encoding="utf-8"?>
<ds:datastoreItem xmlns:ds="http://schemas.openxmlformats.org/officeDocument/2006/customXml" ds:itemID="{7ABFDC75-D8AC-4D02-9BA0-309205FB671D}">
  <ds:schemaRefs>
    <ds:schemaRef ds:uri="http://schemas.microsoft.com/sharepoint/events"/>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05C9F814-F308-444A-B1FA-D57E658F89BC}">
  <ds:schemaRefs>
    <ds:schemaRef ds:uri="http://schemas.openxmlformats.org/officeDocument/2006/bibliography"/>
  </ds:schemaRefs>
</ds:datastoreItem>
</file>

<file path=customXml/itemProps4.xml><?xml version="1.0" encoding="utf-8"?>
<ds:datastoreItem xmlns:ds="http://schemas.openxmlformats.org/officeDocument/2006/customXml" ds:itemID="{2E360630-274D-4F18-9F20-4B297AD6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9396D4-4CDC-4F17-9621-7C6F90189CB8}">
  <ds:schemaRefs>
    <ds:schemaRef ds:uri="36ebd4db-6f78-4d9b-a8bd-dda683c55855"/>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2e24dfb7-a69e-40eb-b94f-44b9ca9c25ed"/>
    <ds:schemaRef ds:uri="4069d3dd-aad9-4e38-b1c0-16c2c42388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6008</Characters>
  <Application>Microsoft Office Word</Application>
  <DocSecurity>0</DocSecurity>
  <Lines>50</Lines>
  <Paragraphs>14</Paragraphs>
  <ScaleCrop>false</ScaleCrop>
  <Company>RCUK SSC Ltd</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Kayleigh Gough - UKRI</cp:lastModifiedBy>
  <cp:revision>2</cp:revision>
  <cp:lastPrinted>2017-07-13T07:15:00Z</cp:lastPrinted>
  <dcterms:created xsi:type="dcterms:W3CDTF">2024-02-28T14:19:00Z</dcterms:created>
  <dcterms:modified xsi:type="dcterms:W3CDTF">2024-02-28T14:19:00Z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814680c3-45af-4368-a59e-22c60e321fee</vt:lpwstr>
  </property>
  <property fmtid="{D5CDD505-2E9C-101B-9397-08002B2CF9AE}" pid="8" name="URL">
    <vt:lpwstr/>
  </property>
  <property fmtid="{D5CDD505-2E9C-101B-9397-08002B2CF9AE}" pid="9" name="_dlc_Exempt">
    <vt:bool>false</vt:bool>
  </property>
  <property fmtid="{D5CDD505-2E9C-101B-9397-08002B2CF9AE}" pid="10" name="_dlc_policyId">
    <vt:lpwstr/>
  </property>
  <property fmtid="{D5CDD505-2E9C-101B-9397-08002B2CF9AE}" pid="11" name="ItemRetentionFormula">
    <vt:lpwstr/>
  </property>
  <property fmtid="{D5CDD505-2E9C-101B-9397-08002B2CF9AE}" pid="12" name="MediaServiceImageTags">
    <vt:lpwstr/>
  </property>
</Properties>
</file>