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6FFA0814">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6FFA0814">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5099659F" w14:textId="7ADCB2EC" w:rsidR="457AF30A" w:rsidRDefault="457AF30A" w:rsidP="6FFA0814">
            <w:pPr>
              <w:spacing w:line="259" w:lineRule="auto"/>
            </w:pPr>
            <w:r w:rsidRPr="6FFA0814">
              <w:rPr>
                <w:color w:val="3B3838" w:themeColor="background2" w:themeShade="40"/>
              </w:rPr>
              <w:t xml:space="preserve">Advanced materials – working with </w:t>
            </w:r>
            <w:proofErr w:type="gramStart"/>
            <w:r w:rsidRPr="6FFA0814">
              <w:rPr>
                <w:color w:val="3B3838" w:themeColor="background2" w:themeShade="40"/>
              </w:rPr>
              <w:t>centres</w:t>
            </w:r>
            <w:proofErr w:type="gramEnd"/>
          </w:p>
          <w:p w14:paraId="3F331A70" w14:textId="776298FB" w:rsidR="004E0F63" w:rsidRPr="00E03F66" w:rsidRDefault="004E0F63" w:rsidP="004E0F63">
            <w:pPr>
              <w:rPr>
                <w:color w:val="3B3838" w:themeColor="background2" w:themeShade="40"/>
              </w:rPr>
            </w:pPr>
          </w:p>
        </w:tc>
      </w:tr>
      <w:tr w:rsidR="00E03F66" w:rsidRPr="00E03F66" w14:paraId="606DF4F7" w14:textId="77777777" w:rsidTr="6FFA0814">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1CFB70C0" w:rsidR="00E03F66" w:rsidRPr="00FF6147" w:rsidRDefault="60B4E4D9" w:rsidP="6FFA0814">
            <w:pPr>
              <w:spacing w:line="259" w:lineRule="auto"/>
            </w:pPr>
            <w:r w:rsidRPr="6FFA0814">
              <w:rPr>
                <w:color w:val="3B3838" w:themeColor="background2" w:themeShade="40"/>
              </w:rPr>
              <w:t>EPSRC</w:t>
            </w:r>
          </w:p>
        </w:tc>
      </w:tr>
      <w:tr w:rsidR="00E03F66" w:rsidRPr="00E03F66" w14:paraId="04B491D4" w14:textId="77777777" w:rsidTr="6FFA0814">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37B65873" w14:textId="25CDB65A" w:rsidR="00E03F66" w:rsidRPr="00917A23" w:rsidRDefault="5F1F5A74" w:rsidP="6FFA0814">
            <w:pPr>
              <w:rPr>
                <w:rFonts w:ascii="Calibri" w:eastAsia="Calibri" w:hAnsi="Calibri" w:cs="Calibri"/>
                <w:color w:val="595959" w:themeColor="text1" w:themeTint="A6"/>
              </w:rPr>
            </w:pPr>
            <w:r w:rsidRPr="6FFA0814">
              <w:rPr>
                <w:rFonts w:ascii="Calibri" w:eastAsia="Calibri" w:hAnsi="Calibri" w:cs="Calibri"/>
                <w:color w:val="595959" w:themeColor="text1" w:themeTint="A6"/>
              </w:rPr>
              <w:t>A funding opportunity to:</w:t>
            </w:r>
          </w:p>
          <w:p w14:paraId="1E4E487F" w14:textId="4F8D017C"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Support research grants (resource intensive), that build connectivity within the AM community. </w:t>
            </w:r>
          </w:p>
          <w:p w14:paraId="73948675" w14:textId="2D438EA9"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Provide an opportunity for the materials community to build their existing research and to capitalise on the substantial wider investments made in their field. </w:t>
            </w:r>
          </w:p>
          <w:p w14:paraId="4937051B" w14:textId="52BB96A1"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Allow them to build links or collaborations with other key researchers, key </w:t>
            </w:r>
            <w:proofErr w:type="gramStart"/>
            <w:r w:rsidRPr="6FFA0814">
              <w:rPr>
                <w:rFonts w:ascii="Calibri" w:eastAsia="Calibri" w:hAnsi="Calibri" w:cs="Calibri"/>
                <w:color w:val="595959" w:themeColor="text1" w:themeTint="A6"/>
              </w:rPr>
              <w:t>actors</w:t>
            </w:r>
            <w:proofErr w:type="gramEnd"/>
            <w:r w:rsidRPr="6FFA0814">
              <w:rPr>
                <w:rFonts w:ascii="Calibri" w:eastAsia="Calibri" w:hAnsi="Calibri" w:cs="Calibri"/>
                <w:color w:val="595959" w:themeColor="text1" w:themeTint="A6"/>
              </w:rPr>
              <w:t xml:space="preserve"> or infrastructure. </w:t>
            </w:r>
          </w:p>
          <w:p w14:paraId="7581B1E4" w14:textId="285E2111"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Enable researchers to capitalise on existing investments to further their research or help translate their work. </w:t>
            </w:r>
          </w:p>
          <w:p w14:paraId="112D6841" w14:textId="380D467F"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Support and nurture our future skills base (focus on Early-Mid stage careers). </w:t>
            </w:r>
          </w:p>
          <w:p w14:paraId="13D5B4F0" w14:textId="1672BB03" w:rsidR="00E03F66" w:rsidRPr="00917A23" w:rsidRDefault="5F1F5A74" w:rsidP="6FFA0814">
            <w:pPr>
              <w:pStyle w:val="ListParagraph"/>
              <w:numPr>
                <w:ilvl w:val="0"/>
                <w:numId w:val="1"/>
              </w:numPr>
              <w:spacing w:line="259" w:lineRule="auto"/>
              <w:rPr>
                <w:rFonts w:ascii="Calibri" w:eastAsia="Calibri" w:hAnsi="Calibri" w:cs="Calibri"/>
                <w:color w:val="595959" w:themeColor="text1" w:themeTint="A6"/>
              </w:rPr>
            </w:pPr>
            <w:r w:rsidRPr="6FFA0814">
              <w:rPr>
                <w:rFonts w:ascii="Calibri" w:eastAsia="Calibri" w:hAnsi="Calibri" w:cs="Calibri"/>
                <w:color w:val="595959" w:themeColor="text1" w:themeTint="A6"/>
              </w:rPr>
              <w:t xml:space="preserve">Building the EPSRC AM community’s ability to deliver against key priorities identified by both EPSRC and UKRI.  </w:t>
            </w:r>
          </w:p>
          <w:p w14:paraId="2B17645A" w14:textId="6FAB0B8F" w:rsidR="00E03F66" w:rsidRPr="00917A23" w:rsidRDefault="00E03F66" w:rsidP="6FFA0814">
            <w:pPr>
              <w:rPr>
                <w:color w:val="595959" w:themeColor="text1" w:themeTint="A6"/>
              </w:rPr>
            </w:pPr>
          </w:p>
          <w:p w14:paraId="781D0575" w14:textId="4A102ADC" w:rsidR="00E03F66" w:rsidRPr="00917A23" w:rsidRDefault="5F1F5A74" w:rsidP="6FFA0814">
            <w:pPr>
              <w:rPr>
                <w:color w:val="595959" w:themeColor="text1" w:themeTint="A6"/>
              </w:rPr>
            </w:pPr>
            <w:r w:rsidRPr="6FFA0814">
              <w:rPr>
                <w:color w:val="3B3838" w:themeColor="background2" w:themeShade="40"/>
              </w:rPr>
              <w:t xml:space="preserve">For this </w:t>
            </w:r>
            <w:r w:rsidR="00E03F66" w:rsidRPr="6FFA0814">
              <w:rPr>
                <w:color w:val="3B3838" w:themeColor="background2" w:themeShade="40"/>
              </w:rPr>
              <w:t xml:space="preserve">funding </w:t>
            </w:r>
            <w:r w:rsidR="007C3B90" w:rsidRPr="6FFA0814">
              <w:rPr>
                <w:color w:val="3B3838" w:themeColor="background2" w:themeShade="40"/>
              </w:rPr>
              <w:t>opportunity</w:t>
            </w:r>
            <w:r w:rsidR="3A24F330" w:rsidRPr="6FFA0814">
              <w:rPr>
                <w:color w:val="3B3838" w:themeColor="background2" w:themeShade="40"/>
              </w:rPr>
              <w:t>, we will</w:t>
            </w:r>
            <w:r w:rsidR="007C3B90" w:rsidRPr="6FFA0814">
              <w:rPr>
                <w:color w:val="3B3838" w:themeColor="background2" w:themeShade="40"/>
              </w:rPr>
              <w:t xml:space="preserve"> </w:t>
            </w:r>
            <w:r w:rsidR="00E03F66" w:rsidRPr="6FFA0814">
              <w:rPr>
                <w:color w:val="3B3838" w:themeColor="background2" w:themeShade="40"/>
              </w:rPr>
              <w:t>consider equality as part of advertising, application process, external review, building a panel</w:t>
            </w:r>
            <w:r w:rsidR="770880B1" w:rsidRPr="6FFA0814">
              <w:rPr>
                <w:color w:val="3B3838" w:themeColor="background2" w:themeShade="40"/>
              </w:rPr>
              <w:t xml:space="preserve"> and</w:t>
            </w:r>
            <w:r w:rsidR="00E03F66" w:rsidRPr="6FFA0814">
              <w:rPr>
                <w:color w:val="3B3838" w:themeColor="background2" w:themeShade="40"/>
              </w:rPr>
              <w:t xml:space="preserve"> hosting panel meetings</w:t>
            </w:r>
            <w:r w:rsidR="40E9FCA4" w:rsidRPr="6FFA0814">
              <w:rPr>
                <w:color w:val="3B3838" w:themeColor="background2" w:themeShade="40"/>
              </w:rPr>
              <w:t>.</w:t>
            </w:r>
          </w:p>
          <w:p w14:paraId="72FD911A" w14:textId="77777777" w:rsidR="00E03F66" w:rsidRPr="00E03F66" w:rsidRDefault="00E03F66" w:rsidP="00443CEC">
            <w:pPr>
              <w:rPr>
                <w:bCs/>
                <w:color w:val="3B3838" w:themeColor="background2" w:themeShade="40"/>
              </w:rPr>
            </w:pPr>
          </w:p>
        </w:tc>
      </w:tr>
      <w:tr w:rsidR="00E03F66" w:rsidRPr="00E03F66" w14:paraId="0D97912A" w14:textId="77777777" w:rsidTr="6FFA0814">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17A5F008" w14:textId="3E675505" w:rsidR="00E03F66" w:rsidRPr="00E03F66" w:rsidRDefault="34428EEE" w:rsidP="6FFA0814">
            <w:pPr>
              <w:rPr>
                <w:color w:val="3B3838" w:themeColor="background2" w:themeShade="40"/>
              </w:rPr>
            </w:pPr>
            <w:r w:rsidRPr="6FFA0814">
              <w:rPr>
                <w:color w:val="3B3838" w:themeColor="background2" w:themeShade="40"/>
              </w:rPr>
              <w:t xml:space="preserve">This funding opportunity is for early to mid-career researchers who are looking to further develop their research profile by connecting with more established research programmes in advanced materials. The definition of early and mid-career is broad and can span from those recently appointed to their first permanent academic position to those who hold a modest portfolio of grants and are looking to expand their network. </w:t>
            </w:r>
          </w:p>
          <w:p w14:paraId="4ADAB108" w14:textId="0D7F92D9" w:rsidR="00E03F66" w:rsidRPr="00E03F66" w:rsidRDefault="00E03F66" w:rsidP="6FFA0814">
            <w:pPr>
              <w:rPr>
                <w:color w:val="3B3838" w:themeColor="background2" w:themeShade="40"/>
              </w:rPr>
            </w:pPr>
          </w:p>
          <w:p w14:paraId="02D0569E" w14:textId="345F7419" w:rsidR="00E03F66" w:rsidRPr="00E03F66" w:rsidRDefault="34428EEE" w:rsidP="6FFA0814">
            <w:r w:rsidRPr="6FFA0814">
              <w:rPr>
                <w:color w:val="3B3838" w:themeColor="background2" w:themeShade="40"/>
              </w:rPr>
              <w:t>Affected: applicants, panel members, EPSRC staff.</w:t>
            </w:r>
          </w:p>
        </w:tc>
      </w:tr>
      <w:tr w:rsidR="00E03F66" w:rsidRPr="00E03F66" w14:paraId="460E5B07" w14:textId="77777777" w:rsidTr="6FFA0814">
        <w:trPr>
          <w:trHeight w:val="685"/>
        </w:trPr>
        <w:tc>
          <w:tcPr>
            <w:tcW w:w="4673" w:type="dxa"/>
            <w:shd w:val="clear" w:color="auto" w:fill="D1DEFD" w:themeFill="accent3" w:themeFillTint="33"/>
          </w:tcPr>
          <w:p w14:paraId="0AA8C0B8" w14:textId="48B9F0B8" w:rsidR="00E03F66" w:rsidRPr="00E03F66" w:rsidRDefault="00E03F66" w:rsidP="4BFBF4D0">
            <w:r>
              <w:t>What data and consultation have you u</w:t>
            </w:r>
            <w:r w:rsidR="0D048C91">
              <w:t>ndertaken</w:t>
            </w:r>
            <w:r>
              <w:t xml:space="preserve">? </w:t>
            </w:r>
          </w:p>
          <w:p w14:paraId="06F60FC4" w14:textId="77777777" w:rsidR="00E03F66" w:rsidRPr="00E03F66" w:rsidRDefault="00E03F66" w:rsidP="00623DB3">
            <w:pPr>
              <w:rPr>
                <w:bCs/>
              </w:rPr>
            </w:pPr>
          </w:p>
        </w:tc>
        <w:tc>
          <w:tcPr>
            <w:tcW w:w="10348" w:type="dxa"/>
          </w:tcPr>
          <w:p w14:paraId="28C7792B" w14:textId="61A61814" w:rsidR="00E03F66" w:rsidRPr="00E03F66" w:rsidRDefault="13950187" w:rsidP="00623DB3">
            <w:pPr>
              <w:rPr>
                <w:color w:val="3B3838" w:themeColor="background2" w:themeShade="40"/>
              </w:rPr>
            </w:pPr>
            <w:r w:rsidRPr="6FFA0814">
              <w:rPr>
                <w:color w:val="3B3838" w:themeColor="background2" w:themeShade="40"/>
              </w:rPr>
              <w:t>C</w:t>
            </w:r>
            <w:r w:rsidR="00E03F66" w:rsidRPr="6FFA0814">
              <w:rPr>
                <w:color w:val="3B3838" w:themeColor="background2" w:themeShade="40"/>
              </w:rPr>
              <w:t xml:space="preserve">onsultation that was done related to the equality impact of </w:t>
            </w:r>
            <w:r w:rsidR="0EF1A6EF" w:rsidRPr="6FFA0814">
              <w:rPr>
                <w:color w:val="3B3838" w:themeColor="background2" w:themeShade="40"/>
              </w:rPr>
              <w:t>this activity:</w:t>
            </w:r>
          </w:p>
          <w:p w14:paraId="73CCD9B6" w14:textId="05F5B429" w:rsidR="00E03F66" w:rsidRPr="00917A23" w:rsidRDefault="00E03F66" w:rsidP="00917A23">
            <w:pPr>
              <w:pStyle w:val="ListParagraph"/>
              <w:numPr>
                <w:ilvl w:val="0"/>
                <w:numId w:val="31"/>
              </w:numPr>
              <w:rPr>
                <w:color w:val="3B3838" w:themeColor="background2" w:themeShade="40"/>
              </w:rPr>
            </w:pPr>
            <w:r w:rsidRPr="6FFA0814">
              <w:rPr>
                <w:color w:val="3B3838" w:themeColor="background2" w:themeShade="40"/>
              </w:rPr>
              <w:t xml:space="preserve">Previous consultations, outcomes or lessons learned </w:t>
            </w:r>
            <w:r w:rsidR="00717EAF" w:rsidRPr="6FFA0814">
              <w:rPr>
                <w:color w:val="3B3838" w:themeColor="background2" w:themeShade="40"/>
              </w:rPr>
              <w:t>from</w:t>
            </w:r>
            <w:r w:rsidRPr="6FFA0814">
              <w:rPr>
                <w:color w:val="3B3838" w:themeColor="background2" w:themeShade="40"/>
              </w:rPr>
              <w:t xml:space="preserve"> similar </w:t>
            </w:r>
            <w:proofErr w:type="gramStart"/>
            <w:r w:rsidRPr="6FFA0814">
              <w:rPr>
                <w:color w:val="3B3838" w:themeColor="background2" w:themeShade="40"/>
              </w:rPr>
              <w:t>projects</w:t>
            </w:r>
            <w:proofErr w:type="gramEnd"/>
          </w:p>
          <w:p w14:paraId="14C91C72" w14:textId="1B1F8DD0" w:rsidR="00E03F66" w:rsidRPr="00917A23" w:rsidRDefault="00E03F66" w:rsidP="00917A23">
            <w:pPr>
              <w:pStyle w:val="ListParagraph"/>
              <w:numPr>
                <w:ilvl w:val="0"/>
                <w:numId w:val="31"/>
              </w:numPr>
              <w:rPr>
                <w:color w:val="3B3838" w:themeColor="background2" w:themeShade="40"/>
              </w:rPr>
            </w:pPr>
            <w:r w:rsidRPr="6FFA0814">
              <w:rPr>
                <w:color w:val="3B3838" w:themeColor="background2" w:themeShade="40"/>
              </w:rPr>
              <w:t>Previous EIAs within UKRI</w:t>
            </w:r>
          </w:p>
          <w:p w14:paraId="133A7E5C" w14:textId="478BD1A1" w:rsidR="00A10000" w:rsidRPr="00A10000" w:rsidRDefault="74735650" w:rsidP="00A10000">
            <w:pPr>
              <w:pStyle w:val="ListParagraph"/>
              <w:numPr>
                <w:ilvl w:val="0"/>
                <w:numId w:val="31"/>
              </w:numPr>
              <w:rPr>
                <w:color w:val="3B3838" w:themeColor="background2" w:themeShade="40"/>
              </w:rPr>
            </w:pPr>
            <w:r w:rsidRPr="6FFA0814">
              <w:rPr>
                <w:color w:val="3B3838" w:themeColor="background2" w:themeShade="40"/>
              </w:rPr>
              <w:t xml:space="preserve">Developed with guidance from EPSRC’s business improvement team.   </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7310AB48" w14:textId="77777777" w:rsidR="00A40B47" w:rsidRPr="00E03F66" w:rsidRDefault="00A40B47" w:rsidP="00E03F66">
      <w:pPr>
        <w:rPr>
          <w:color w:val="auto"/>
        </w:rPr>
      </w:pPr>
    </w:p>
    <w:tbl>
      <w:tblPr>
        <w:tblStyle w:val="TableGrid1"/>
        <w:tblW w:w="14737" w:type="dxa"/>
        <w:tblLook w:val="04A0" w:firstRow="1" w:lastRow="0" w:firstColumn="1" w:lastColumn="0" w:noHBand="0" w:noVBand="1"/>
      </w:tblPr>
      <w:tblGrid>
        <w:gridCol w:w="5277"/>
        <w:gridCol w:w="9460"/>
      </w:tblGrid>
      <w:tr w:rsidR="00A40B47" w:rsidRPr="00A40B47" w14:paraId="15CC0CF7" w14:textId="77777777" w:rsidTr="6FFA0814">
        <w:trPr>
          <w:trHeight w:val="3378"/>
        </w:trPr>
        <w:tc>
          <w:tcPr>
            <w:tcW w:w="5277" w:type="dxa"/>
            <w:shd w:val="clear" w:color="auto" w:fill="D1DEFD" w:themeFill="accent3" w:themeFillTint="33"/>
          </w:tcPr>
          <w:p w14:paraId="518F6DE3" w14:textId="1C81E5E1" w:rsidR="00A40B47" w:rsidRPr="00A40B47" w:rsidRDefault="00A40B47" w:rsidP="00623DB3">
            <w:r w:rsidRPr="00A40B47">
              <w:t xml:space="preserve">Are there </w:t>
            </w:r>
            <w:r w:rsidRPr="00A63357">
              <w:rPr>
                <w:b/>
                <w:bCs/>
              </w:rPr>
              <w:t>general or overarching impact</w:t>
            </w:r>
            <w:r w:rsidR="00417D53">
              <w:rPr>
                <w:b/>
                <w:bCs/>
              </w:rPr>
              <w:t>s</w:t>
            </w:r>
            <w:r w:rsidRPr="00A63357">
              <w:rPr>
                <w:b/>
                <w:bCs/>
              </w:rPr>
              <w:t xml:space="preserve"> on multiple groups</w:t>
            </w:r>
            <w:r w:rsidRPr="00A40B47">
              <w:t>? What actions will you take to increase positive impact, or reduce/mitigate negative impact?</w:t>
            </w:r>
          </w:p>
          <w:p w14:paraId="0677829F" w14:textId="77777777" w:rsidR="00A40B47" w:rsidRPr="00A40B47" w:rsidRDefault="00A40B47" w:rsidP="00623DB3"/>
          <w:p w14:paraId="31DAC97B" w14:textId="77777777" w:rsidR="00A40B47" w:rsidRPr="00A40B47" w:rsidRDefault="00A40B47" w:rsidP="00623DB3">
            <w:pPr>
              <w:rPr>
                <w:b/>
              </w:rPr>
            </w:pPr>
          </w:p>
          <w:p w14:paraId="3170449B" w14:textId="77777777" w:rsidR="00A40B47" w:rsidRPr="00A40B47" w:rsidRDefault="00A40B47" w:rsidP="00623DB3">
            <w:pPr>
              <w:rPr>
                <w:b/>
              </w:rPr>
            </w:pPr>
          </w:p>
          <w:p w14:paraId="3B04CEBE" w14:textId="77777777" w:rsidR="00A40B47" w:rsidRPr="00A40B47" w:rsidRDefault="00A40B47" w:rsidP="46E99FCF">
            <w:pPr>
              <w:rPr>
                <w:b/>
                <w:bCs/>
              </w:rPr>
            </w:pPr>
          </w:p>
        </w:tc>
        <w:tc>
          <w:tcPr>
            <w:tcW w:w="9460" w:type="dxa"/>
          </w:tcPr>
          <w:p w14:paraId="2803037F" w14:textId="08726456" w:rsidR="001B1487" w:rsidRDefault="001B1487" w:rsidP="6FFA0814">
            <w:pPr>
              <w:rPr>
                <w:b/>
                <w:bCs/>
              </w:rPr>
            </w:pPr>
          </w:p>
          <w:p w14:paraId="4529D8A4" w14:textId="63C0645F" w:rsidR="001B1487" w:rsidRDefault="5000B2DF" w:rsidP="6FFA0814">
            <w:pPr>
              <w:spacing w:line="259" w:lineRule="auto"/>
            </w:pPr>
            <w:r>
              <w:t xml:space="preserve">This funding opportunity has a focus on </w:t>
            </w:r>
            <w:r w:rsidR="2970C136">
              <w:t>research collaborations. R</w:t>
            </w:r>
            <w:r>
              <w:t>esearch collaborations often require travel, this may discourage individuals with additional requirements relating to physical or mental impairments</w:t>
            </w:r>
            <w:r w:rsidR="5566155D">
              <w:t>,</w:t>
            </w:r>
            <w:r>
              <w:t xml:space="preserve"> </w:t>
            </w:r>
            <w:r w:rsidR="5566155D">
              <w:t>those who are pregnant or on parental leave or those who have caring responsibilities. To addr</w:t>
            </w:r>
            <w:r w:rsidR="62334225">
              <w:t xml:space="preserve">ess this, we encourage applications to explore options to build and maintain collaborations in a way that reduces the need to travel. Associated costs are eligible.  </w:t>
            </w:r>
          </w:p>
          <w:p w14:paraId="0544917E" w14:textId="4299C1C9" w:rsidR="00977FD9" w:rsidRDefault="00977FD9" w:rsidP="6FFA0814"/>
          <w:p w14:paraId="0E17A5D4" w14:textId="36B2D28F" w:rsidR="00C744E0" w:rsidRPr="00977FD9" w:rsidRDefault="00840F8E" w:rsidP="00977FD9">
            <w:pPr>
              <w:rPr>
                <w:i/>
                <w:iCs/>
              </w:rPr>
            </w:pPr>
            <w:r w:rsidRPr="00977FD9">
              <w:t xml:space="preserve"> </w:t>
            </w:r>
          </w:p>
          <w:p w14:paraId="7F82F4B1" w14:textId="77777777" w:rsidR="00840F8E" w:rsidRDefault="00840F8E" w:rsidP="00840F8E">
            <w:pPr>
              <w:rPr>
                <w:i/>
                <w:iCs/>
              </w:rPr>
            </w:pPr>
          </w:p>
          <w:p w14:paraId="55FAE911" w14:textId="74F89542" w:rsidR="00840F8E" w:rsidRPr="00840F8E" w:rsidRDefault="00840F8E" w:rsidP="00840F8E">
            <w:pPr>
              <w:rPr>
                <w:i/>
                <w:iCs/>
              </w:rPr>
            </w:pPr>
          </w:p>
        </w:tc>
      </w:tr>
    </w:tbl>
    <w:p w14:paraId="41AE252B" w14:textId="26FFD22D" w:rsidR="00E03F66" w:rsidRDefault="00E03F66" w:rsidP="008E3656">
      <w:pPr>
        <w:rPr>
          <w:bCs/>
          <w:color w:val="auto"/>
        </w:rPr>
      </w:pPr>
    </w:p>
    <w:p w14:paraId="33BE4347" w14:textId="79D7DCD0" w:rsidR="00493D72" w:rsidRDefault="00493D72">
      <w:pPr>
        <w:rPr>
          <w:bCs/>
          <w:color w:val="auto"/>
        </w:rPr>
      </w:pPr>
      <w:r>
        <w:rPr>
          <w:bCs/>
          <w:color w:val="auto"/>
        </w:rPr>
        <w:br w:type="page"/>
      </w:r>
    </w:p>
    <w:p w14:paraId="5DDFAEDE" w14:textId="77777777" w:rsidR="0013632F" w:rsidRDefault="0013632F">
      <w:pPr>
        <w:rPr>
          <w:bCs/>
          <w:color w:val="auto"/>
        </w:rPr>
      </w:pPr>
    </w:p>
    <w:p w14:paraId="56F98A51" w14:textId="77777777" w:rsidR="0013632F" w:rsidRDefault="0013632F">
      <w:pPr>
        <w:rPr>
          <w:bCs/>
          <w:color w:val="auto"/>
        </w:rPr>
      </w:pPr>
    </w:p>
    <w:p w14:paraId="16A12208" w14:textId="2DF01A44" w:rsidR="0013632F" w:rsidRDefault="00F105AB" w:rsidP="00F105AB">
      <w:pPr>
        <w:pStyle w:val="Heading2"/>
      </w:pPr>
      <w:bookmarkStart w:id="6" w:name="_Toc126841208"/>
      <w:r>
        <w:t xml:space="preserve">Protected </w:t>
      </w:r>
      <w:proofErr w:type="gramStart"/>
      <w:r>
        <w:t>characteristics</w:t>
      </w:r>
      <w:bookmarkEnd w:id="6"/>
      <w:proofErr w:type="gramEnd"/>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6FFA0814">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6FFA0814">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6FFA0814">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6A2243CA" w14:textId="66D6B68F" w:rsidR="7FA667CD" w:rsidRDefault="7FA667CD">
                <w:r w:rsidRPr="6FFA0814">
                  <w:rPr>
                    <w:rFonts w:ascii="MS Gothic" w:eastAsia="MS Gothic" w:hAnsi="MS Gothic" w:cs="MS Gothic"/>
                  </w:rPr>
                  <w:t>☒</w:t>
                </w:r>
              </w:p>
            </w:tc>
          </w:sdtContent>
        </w:sdt>
        <w:tc>
          <w:tcPr>
            <w:tcW w:w="4805" w:type="dxa"/>
          </w:tcPr>
          <w:p w14:paraId="7E87B67D" w14:textId="06BC83F0" w:rsidR="0013632F" w:rsidRPr="0013632F" w:rsidRDefault="7FA667CD" w:rsidP="0013632F">
            <w:r>
              <w:t xml:space="preserve">This opportunity is aimed at early to mid-career researchers. There may be the perception of age associated with these statuses. </w:t>
            </w:r>
          </w:p>
        </w:tc>
        <w:tc>
          <w:tcPr>
            <w:tcW w:w="4587" w:type="dxa"/>
          </w:tcPr>
          <w:p w14:paraId="3770E1EE" w14:textId="0C17BFC3" w:rsidR="0013632F" w:rsidRPr="0013632F" w:rsidRDefault="7FA667CD" w:rsidP="0013632F">
            <w:r>
              <w:t>When assessing eligibility, we will not consider years post-PhD or job title as a marker of career progression, for eligibility we will consider overall funding history and portfolio. We recognise alternative career paths and value the diversity of career experiences.</w:t>
            </w:r>
          </w:p>
        </w:tc>
      </w:tr>
      <w:tr w:rsidR="0013632F" w:rsidRPr="0013632F" w14:paraId="348B4F8B" w14:textId="77777777" w:rsidTr="6FFA0814">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25372EDB" w14:textId="7D48212E" w:rsidR="5EF8DA66" w:rsidRDefault="5EF8DA66">
                <w:r w:rsidRPr="6FFA0814">
                  <w:rPr>
                    <w:rFonts w:ascii="MS Gothic" w:eastAsia="MS Gothic" w:hAnsi="MS Gothic" w:cs="MS Gothic"/>
                  </w:rPr>
                  <w:t>☒</w:t>
                </w:r>
              </w:p>
            </w:tc>
          </w:sdtContent>
        </w:sdt>
        <w:tc>
          <w:tcPr>
            <w:tcW w:w="4805" w:type="dxa"/>
          </w:tcPr>
          <w:p w14:paraId="23243112" w14:textId="170C5D45" w:rsidR="0013632F" w:rsidRPr="0013632F" w:rsidRDefault="5EF8DA66" w:rsidP="0013632F">
            <w:r>
              <w:t xml:space="preserve">Aside from the above, disability may affect an applicant's ability to apply or conduct research. </w:t>
            </w:r>
          </w:p>
          <w:p w14:paraId="2CC46AEA" w14:textId="02DFDA33" w:rsidR="0013632F" w:rsidRPr="0013632F" w:rsidRDefault="0013632F" w:rsidP="6FFA0814"/>
          <w:p w14:paraId="24A6CCBD" w14:textId="42CD3C21" w:rsidR="0013632F" w:rsidRPr="0013632F" w:rsidRDefault="5EF8DA66" w:rsidP="6FFA0814">
            <w:r>
              <w:t xml:space="preserve">Disability may affect a panel members ability to attend an in-person meeting. </w:t>
            </w:r>
          </w:p>
        </w:tc>
        <w:tc>
          <w:tcPr>
            <w:tcW w:w="4587" w:type="dxa"/>
          </w:tcPr>
          <w:p w14:paraId="6F3D9DB1" w14:textId="4D62D7FE" w:rsidR="0013632F" w:rsidRPr="0013632F" w:rsidRDefault="5EF8DA66" w:rsidP="0013632F">
            <w:r>
              <w:t>Any reasonable adjustments for specific requirements will be made.</w:t>
            </w:r>
          </w:p>
          <w:p w14:paraId="69914DDE" w14:textId="5D7A312E" w:rsidR="0013632F" w:rsidRPr="0013632F" w:rsidRDefault="5EF8DA66" w:rsidP="0013632F">
            <w:r>
              <w:t xml:space="preserve">  </w:t>
            </w:r>
          </w:p>
          <w:p w14:paraId="31467F22" w14:textId="52DD23AB" w:rsidR="0013632F" w:rsidRPr="0013632F" w:rsidRDefault="5EF8DA66" w:rsidP="6FFA0814">
            <w:r>
              <w:t xml:space="preserve">Document will be produced in line with EPSRC formatting guidelines.  </w:t>
            </w:r>
          </w:p>
          <w:p w14:paraId="20DADD3A" w14:textId="67B8E05F" w:rsidR="0013632F" w:rsidRPr="0013632F" w:rsidRDefault="0013632F" w:rsidP="6FFA0814"/>
          <w:p w14:paraId="2E09443B" w14:textId="6E3DBA01" w:rsidR="0013632F" w:rsidRPr="0013632F" w:rsidRDefault="5EF8DA66" w:rsidP="6FFA0814">
            <w:r>
              <w:t xml:space="preserve">The panel meeting will be held online or with at least a hybrid option. </w:t>
            </w:r>
          </w:p>
        </w:tc>
      </w:tr>
      <w:tr w:rsidR="0013632F" w:rsidRPr="0013632F" w14:paraId="0B0797AA" w14:textId="77777777" w:rsidTr="6FFA0814">
        <w:trPr>
          <w:trHeight w:val="205"/>
        </w:trPr>
        <w:tc>
          <w:tcPr>
            <w:tcW w:w="2508" w:type="dxa"/>
            <w:shd w:val="clear" w:color="auto" w:fill="D1DEFD" w:themeFill="accent3" w:themeFillTint="33"/>
          </w:tcPr>
          <w:p w14:paraId="5F77659B" w14:textId="77777777" w:rsidR="0013632F" w:rsidRPr="0013632F" w:rsidRDefault="0013632F" w:rsidP="0013632F">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21807B01" w14:textId="25D69E62" w:rsidR="1E21F1BA" w:rsidRDefault="1E21F1BA">
                <w:r w:rsidRPr="6FFA0814">
                  <w:rPr>
                    <w:rFonts w:ascii="MS Gothic" w:eastAsia="MS Gothic" w:hAnsi="MS Gothic" w:cs="MS Gothic"/>
                  </w:rPr>
                  <w:t>☐</w:t>
                </w:r>
              </w:p>
            </w:tc>
          </w:sdtContent>
        </w:sdt>
        <w:sdt>
          <w:sdtPr>
            <w:rPr>
              <w:rFonts w:cs="Arial"/>
              <w:color w:val="000000" w:themeColor="text1"/>
              <w:sz w:val="40"/>
              <w:szCs w:val="40"/>
            </w:rPr>
            <w:id w:val="997383883"/>
            <w14:checkbox>
              <w14:checked w14:val="0"/>
              <w14:checkedState w14:val="2612" w14:font="MS Gothic"/>
              <w14:uncheckedState w14:val="2610" w14:font="MS Gothic"/>
            </w14:checkbox>
          </w:sdtPr>
          <w:sdtEndPr/>
          <w:sdtContent>
            <w:tc>
              <w:tcPr>
                <w:tcW w:w="1197" w:type="dxa"/>
              </w:tcPr>
              <w:p w14:paraId="48440B2A" w14:textId="387A84D5"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56D2DD6" w14:textId="4120B222" w:rsidR="0013632F" w:rsidRPr="0013632F" w:rsidRDefault="2DA5A73C" w:rsidP="0013632F">
            <w:r>
              <w:t>No impact identified.</w:t>
            </w:r>
          </w:p>
        </w:tc>
        <w:tc>
          <w:tcPr>
            <w:tcW w:w="4587" w:type="dxa"/>
          </w:tcPr>
          <w:p w14:paraId="78846AF1" w14:textId="77777777" w:rsidR="0013632F" w:rsidRPr="0013632F" w:rsidRDefault="0013632F" w:rsidP="0013632F"/>
        </w:tc>
      </w:tr>
      <w:tr w:rsidR="0013632F" w:rsidRPr="0013632F" w14:paraId="1848A452" w14:textId="77777777" w:rsidTr="6FFA0814">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7EDFDAF9" w:rsidR="0013632F" w:rsidRPr="0013632F" w:rsidRDefault="37B881BF" w:rsidP="0013632F">
            <w:r>
              <w:t>No impact identified.</w:t>
            </w:r>
          </w:p>
        </w:tc>
        <w:tc>
          <w:tcPr>
            <w:tcW w:w="4587" w:type="dxa"/>
          </w:tcPr>
          <w:p w14:paraId="3E673427" w14:textId="77777777" w:rsidR="0013632F" w:rsidRPr="0013632F" w:rsidRDefault="0013632F" w:rsidP="0013632F"/>
        </w:tc>
      </w:tr>
      <w:tr w:rsidR="0013632F" w:rsidRPr="0013632F" w14:paraId="6050ABF1" w14:textId="77777777" w:rsidTr="6FFA0814">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48DF0EA3" w14:textId="66DEA79F" w:rsidR="7D26DF74" w:rsidRDefault="7D26DF74">
                <w:r w:rsidRPr="6FFA0814">
                  <w:rPr>
                    <w:rFonts w:ascii="MS Gothic" w:eastAsia="MS Gothic" w:hAnsi="MS Gothic" w:cs="MS Gothic"/>
                  </w:rPr>
                  <w:t>☒</w:t>
                </w:r>
              </w:p>
            </w:tc>
          </w:sdtContent>
        </w:sdt>
        <w:tc>
          <w:tcPr>
            <w:tcW w:w="4805" w:type="dxa"/>
          </w:tcPr>
          <w:p w14:paraId="0B3243D0" w14:textId="5316C2FA" w:rsidR="0013632F" w:rsidRPr="0013632F" w:rsidRDefault="7D26DF74" w:rsidP="0013632F">
            <w:r>
              <w:t xml:space="preserve">Detailed in the section above. </w:t>
            </w:r>
          </w:p>
        </w:tc>
        <w:tc>
          <w:tcPr>
            <w:tcW w:w="4587" w:type="dxa"/>
          </w:tcPr>
          <w:p w14:paraId="226037FD" w14:textId="220C5823" w:rsidR="0013632F" w:rsidRPr="0013632F" w:rsidRDefault="7D26DF74" w:rsidP="0013632F">
            <w:r>
              <w:t xml:space="preserve">Detailed in the section above. </w:t>
            </w:r>
          </w:p>
        </w:tc>
      </w:tr>
      <w:tr w:rsidR="0013632F" w:rsidRPr="0013632F" w14:paraId="1B19424E" w14:textId="77777777" w:rsidTr="6FFA0814">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0"/>
              <w14:checkedState w14:val="2612" w14:font="MS Gothic"/>
              <w14:uncheckedState w14:val="2610" w14:font="MS Gothic"/>
            </w14:checkbox>
          </w:sdtPr>
          <w:sdtEndPr/>
          <w:sdtContent>
            <w:tc>
              <w:tcPr>
                <w:tcW w:w="1197" w:type="dxa"/>
              </w:tcPr>
              <w:p w14:paraId="49345275" w14:textId="0025DF09"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74C1FD4" w14:textId="721BF8F9" w:rsidR="0013632F" w:rsidRPr="0013632F" w:rsidRDefault="5CC6D6EB" w:rsidP="0013632F">
            <w:r>
              <w:t>No impact identified.</w:t>
            </w:r>
          </w:p>
        </w:tc>
        <w:tc>
          <w:tcPr>
            <w:tcW w:w="4587" w:type="dxa"/>
          </w:tcPr>
          <w:p w14:paraId="3E6DF33D" w14:textId="77777777" w:rsidR="0013632F" w:rsidRPr="0013632F" w:rsidRDefault="0013632F" w:rsidP="0013632F"/>
        </w:tc>
      </w:tr>
      <w:tr w:rsidR="0013632F" w:rsidRPr="0013632F" w14:paraId="636FBFAF" w14:textId="77777777" w:rsidTr="6FFA0814">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1E0BEE81" w14:textId="1DBC1A15" w:rsidR="32AB692B" w:rsidRDefault="32AB692B">
                <w:r w:rsidRPr="6FFA0814">
                  <w:rPr>
                    <w:rFonts w:ascii="MS Gothic" w:eastAsia="MS Gothic" w:hAnsi="MS Gothic" w:cs="MS Gothic"/>
                  </w:rPr>
                  <w:t>☒</w:t>
                </w:r>
              </w:p>
            </w:tc>
          </w:sdtContent>
        </w:sdt>
        <w:tc>
          <w:tcPr>
            <w:tcW w:w="4805" w:type="dxa"/>
          </w:tcPr>
          <w:p w14:paraId="1C1A5A6B" w14:textId="41DC9B61" w:rsidR="0013632F" w:rsidRPr="0013632F" w:rsidRDefault="32AB692B" w:rsidP="0013632F">
            <w:r>
              <w:t xml:space="preserve">Depends on individual circumstances. Participation could be affected by coincidence with religious holidays.  </w:t>
            </w:r>
          </w:p>
        </w:tc>
        <w:tc>
          <w:tcPr>
            <w:tcW w:w="4587" w:type="dxa"/>
          </w:tcPr>
          <w:p w14:paraId="3A0B6D60" w14:textId="72BA62DB" w:rsidR="0013632F" w:rsidRPr="0013632F" w:rsidRDefault="32AB692B" w:rsidP="0013632F">
            <w:r>
              <w:t xml:space="preserve">EPSRC endeavours to select dates that a cognisant of major holidays (e.g., panel dates will try to avoid being held during religious holidays.)  </w:t>
            </w:r>
          </w:p>
        </w:tc>
      </w:tr>
      <w:tr w:rsidR="0013632F" w:rsidRPr="0013632F" w14:paraId="41A1E9B5" w14:textId="77777777" w:rsidTr="6FFA0814">
        <w:trPr>
          <w:trHeight w:val="205"/>
        </w:trPr>
        <w:tc>
          <w:tcPr>
            <w:tcW w:w="2508" w:type="dxa"/>
            <w:shd w:val="clear" w:color="auto" w:fill="D1DEFD" w:themeFill="accent3" w:themeFillTint="33"/>
          </w:tcPr>
          <w:p w14:paraId="5119852C" w14:textId="77777777" w:rsidR="0013632F" w:rsidRPr="0013632F" w:rsidRDefault="0013632F" w:rsidP="0013632F">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7E60A845" w:rsidR="0013632F" w:rsidRPr="0013632F" w:rsidRDefault="3C194984" w:rsidP="0013632F">
            <w:r>
              <w:t xml:space="preserve">No impact identified. </w:t>
            </w:r>
          </w:p>
        </w:tc>
        <w:tc>
          <w:tcPr>
            <w:tcW w:w="4587" w:type="dxa"/>
          </w:tcPr>
          <w:p w14:paraId="20C85CEE" w14:textId="77777777" w:rsidR="0013632F" w:rsidRPr="0013632F" w:rsidRDefault="0013632F" w:rsidP="0013632F"/>
        </w:tc>
      </w:tr>
      <w:tr w:rsidR="0013632F" w:rsidRPr="0013632F" w14:paraId="100D5274" w14:textId="77777777" w:rsidTr="6FFA0814">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0"/>
              <w14:checkedState w14:val="2612" w14:font="MS Gothic"/>
              <w14:uncheckedState w14:val="2610" w14:font="MS Gothic"/>
            </w14:checkbox>
          </w:sdtPr>
          <w:sdtEndPr/>
          <w:sdtContent>
            <w:tc>
              <w:tcPr>
                <w:tcW w:w="1197" w:type="dxa"/>
              </w:tcPr>
              <w:p w14:paraId="2B4E8356" w14:textId="2B7640F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E114FF5" w14:textId="1994C9C6" w:rsidR="0013632F" w:rsidRPr="0013632F" w:rsidRDefault="752E4A22" w:rsidP="0013632F">
            <w:r>
              <w:t>No impact identified.</w:t>
            </w:r>
          </w:p>
        </w:tc>
        <w:tc>
          <w:tcPr>
            <w:tcW w:w="4587" w:type="dxa"/>
          </w:tcPr>
          <w:p w14:paraId="543ED083" w14:textId="2FEB0574" w:rsidR="0013632F" w:rsidRPr="0013632F" w:rsidRDefault="752E4A22" w:rsidP="0013632F">
            <w:r>
              <w:t xml:space="preserve">Gender neutral language will be used throughout and will be encouraged at panel meetings. </w:t>
            </w:r>
          </w:p>
          <w:p w14:paraId="2BBEC7C9" w14:textId="6BA88E2B" w:rsidR="0013632F" w:rsidRPr="0013632F" w:rsidRDefault="0013632F" w:rsidP="6FFA0814"/>
          <w:p w14:paraId="79356269" w14:textId="68F7823E" w:rsidR="0013632F" w:rsidRPr="0013632F" w:rsidRDefault="752E4A22" w:rsidP="6FFA0814">
            <w:r>
              <w:t xml:space="preserve">Efforts will be made to select gender diverse panellists.   </w:t>
            </w:r>
          </w:p>
        </w:tc>
      </w:tr>
    </w:tbl>
    <w:p w14:paraId="55646E2D" w14:textId="2F599E97" w:rsidR="007A2B49" w:rsidRPr="00341B6C" w:rsidRDefault="0013632F" w:rsidP="6FFA0814">
      <w:pPr>
        <w:rPr>
          <w:color w:val="auto"/>
        </w:rPr>
      </w:pPr>
      <w:r w:rsidRPr="6FFA0814">
        <w:rPr>
          <w:color w:val="auto"/>
        </w:rPr>
        <w:br w:type="page"/>
      </w:r>
    </w:p>
    <w:p w14:paraId="037143E6" w14:textId="6D8A0547" w:rsidR="007A2B49" w:rsidRDefault="00F105AB" w:rsidP="00F105AB">
      <w:pPr>
        <w:pStyle w:val="Heading2"/>
      </w:pPr>
      <w:bookmarkStart w:id="7" w:name="_Toc126841209"/>
      <w:r>
        <w:lastRenderedPageBreak/>
        <w:t>Additional characteristics</w:t>
      </w:r>
      <w:bookmarkEnd w:id="7"/>
    </w:p>
    <w:p w14:paraId="4B9B1735" w14:textId="77777777" w:rsidR="007A2B49" w:rsidRDefault="007A2B49" w:rsidP="008E3656">
      <w:pPr>
        <w:rPr>
          <w:bCs/>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6FFA0814">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6FFA0814">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6FFA0814">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E904DF" w:rsidRDefault="00BB4B2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493E762" w14:textId="1994C9C6" w:rsidR="00E904DF" w:rsidRPr="007C4B67" w:rsidRDefault="53AA0AEA" w:rsidP="6FFA0814">
            <w:pPr>
              <w:spacing w:line="259" w:lineRule="auto"/>
              <w:rPr>
                <w:color w:val="auto"/>
              </w:rPr>
            </w:pPr>
            <w:r w:rsidRPr="6FFA0814">
              <w:rPr>
                <w:color w:val="auto"/>
              </w:rPr>
              <w:t>No impact identified.</w:t>
            </w:r>
          </w:p>
          <w:p w14:paraId="161E4FC0" w14:textId="23DFF66D" w:rsidR="00E904DF" w:rsidRPr="007C4B67" w:rsidRDefault="00E904DF" w:rsidP="6FFA0814">
            <w:pPr>
              <w:spacing w:line="259" w:lineRule="auto"/>
              <w:rPr>
                <w:color w:val="auto"/>
              </w:rPr>
            </w:pPr>
          </w:p>
        </w:tc>
        <w:tc>
          <w:tcPr>
            <w:tcW w:w="4496" w:type="dxa"/>
          </w:tcPr>
          <w:p w14:paraId="511FC642" w14:textId="1994C9C6" w:rsidR="00E904DF" w:rsidRPr="007C4B67" w:rsidRDefault="53AA0AEA" w:rsidP="6FFA0814">
            <w:pPr>
              <w:spacing w:line="259" w:lineRule="auto"/>
              <w:rPr>
                <w:color w:val="auto"/>
              </w:rPr>
            </w:pPr>
            <w:r w:rsidRPr="6FFA0814">
              <w:rPr>
                <w:color w:val="auto"/>
              </w:rPr>
              <w:t>No impact identified.</w:t>
            </w:r>
          </w:p>
          <w:p w14:paraId="23E62FC0" w14:textId="340595B7" w:rsidR="00E904DF" w:rsidRPr="007C4B67" w:rsidRDefault="00E904DF" w:rsidP="6FFA0814">
            <w:pPr>
              <w:spacing w:line="259" w:lineRule="auto"/>
              <w:rPr>
                <w:color w:val="auto"/>
              </w:rPr>
            </w:pPr>
          </w:p>
        </w:tc>
      </w:tr>
      <w:tr w:rsidR="00E904DF" w:rsidRPr="007C4B67" w14:paraId="0258738E" w14:textId="77777777" w:rsidTr="6FFA0814">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F12C4D2" w14:textId="1994C9C6" w:rsidR="00E904DF" w:rsidRPr="007C4B67" w:rsidRDefault="11BB100D" w:rsidP="6FFA0814">
            <w:pPr>
              <w:spacing w:line="259" w:lineRule="auto"/>
              <w:rPr>
                <w:color w:val="auto"/>
              </w:rPr>
            </w:pPr>
            <w:r w:rsidRPr="6FFA0814">
              <w:rPr>
                <w:color w:val="auto"/>
              </w:rPr>
              <w:t>No impact identified.</w:t>
            </w:r>
          </w:p>
          <w:p w14:paraId="361FC74E" w14:textId="314E4179" w:rsidR="00E904DF" w:rsidRPr="007C4B67" w:rsidRDefault="00E904DF" w:rsidP="6FFA0814">
            <w:pPr>
              <w:spacing w:line="259" w:lineRule="auto"/>
              <w:rPr>
                <w:color w:val="auto"/>
              </w:rPr>
            </w:pPr>
          </w:p>
        </w:tc>
        <w:tc>
          <w:tcPr>
            <w:tcW w:w="4496" w:type="dxa"/>
          </w:tcPr>
          <w:p w14:paraId="6BB46BD2" w14:textId="1994C9C6" w:rsidR="00E904DF" w:rsidRPr="007C4B67" w:rsidRDefault="11BB100D" w:rsidP="6FFA0814">
            <w:pPr>
              <w:spacing w:line="259" w:lineRule="auto"/>
              <w:rPr>
                <w:color w:val="auto"/>
              </w:rPr>
            </w:pPr>
            <w:r w:rsidRPr="6FFA0814">
              <w:rPr>
                <w:color w:val="auto"/>
              </w:rPr>
              <w:t>No impact identified.</w:t>
            </w:r>
          </w:p>
          <w:p w14:paraId="7C2DC12A" w14:textId="1A9BA7E8" w:rsidR="00E904DF" w:rsidRPr="007C4B67" w:rsidRDefault="00E904DF" w:rsidP="6FFA0814">
            <w:pPr>
              <w:spacing w:line="259" w:lineRule="auto"/>
              <w:rPr>
                <w:color w:val="auto"/>
              </w:rPr>
            </w:pPr>
          </w:p>
        </w:tc>
      </w:tr>
      <w:tr w:rsidR="00E904DF" w:rsidRPr="007C4B67" w14:paraId="6D8F83A7" w14:textId="77777777" w:rsidTr="6FFA0814">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55BFAF4" w14:textId="1994C9C6" w:rsidR="00E904DF" w:rsidRPr="007C4B67" w:rsidRDefault="37DFF573" w:rsidP="6FFA0814">
            <w:pPr>
              <w:spacing w:line="259" w:lineRule="auto"/>
              <w:rPr>
                <w:color w:val="auto"/>
              </w:rPr>
            </w:pPr>
            <w:r w:rsidRPr="6FFA0814">
              <w:rPr>
                <w:color w:val="auto"/>
              </w:rPr>
              <w:t>No impact identified.</w:t>
            </w:r>
          </w:p>
          <w:p w14:paraId="52045C25" w14:textId="4602743D" w:rsidR="00E904DF" w:rsidRPr="007C4B67" w:rsidRDefault="00E904DF" w:rsidP="6FFA0814">
            <w:pPr>
              <w:spacing w:line="259" w:lineRule="auto"/>
              <w:rPr>
                <w:color w:val="auto"/>
              </w:rPr>
            </w:pPr>
          </w:p>
        </w:tc>
        <w:tc>
          <w:tcPr>
            <w:tcW w:w="4496" w:type="dxa"/>
          </w:tcPr>
          <w:p w14:paraId="0812A9FA" w14:textId="1994C9C6" w:rsidR="00E904DF" w:rsidRPr="007C4B67" w:rsidRDefault="37DFF573" w:rsidP="6FFA0814">
            <w:pPr>
              <w:spacing w:line="259" w:lineRule="auto"/>
              <w:rPr>
                <w:color w:val="auto"/>
              </w:rPr>
            </w:pPr>
            <w:r w:rsidRPr="6FFA0814">
              <w:rPr>
                <w:color w:val="auto"/>
              </w:rPr>
              <w:t>No impact identified.</w:t>
            </w:r>
          </w:p>
          <w:p w14:paraId="0C4FD448" w14:textId="6FFDC487" w:rsidR="00E904DF" w:rsidRPr="007C4B67" w:rsidRDefault="00E904DF" w:rsidP="6FFA0814">
            <w:pPr>
              <w:spacing w:line="259" w:lineRule="auto"/>
              <w:rPr>
                <w:color w:val="auto"/>
              </w:rPr>
            </w:pPr>
          </w:p>
        </w:tc>
      </w:tr>
      <w:tr w:rsidR="00E904DF" w:rsidRPr="007C4B67" w14:paraId="6B256C9A" w14:textId="77777777" w:rsidTr="6FFA0814">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0"/>
              <w14:checkedState w14:val="2612" w14:font="MS Gothic"/>
              <w14:uncheckedState w14:val="2610" w14:font="MS Gothic"/>
            </w14:checkbox>
          </w:sdtPr>
          <w:sdtEndPr/>
          <w:sdtContent>
            <w:tc>
              <w:tcPr>
                <w:tcW w:w="1138" w:type="dxa"/>
              </w:tcPr>
              <w:p w14:paraId="60D6A91C" w14:textId="7057E40F"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C278D2E" w14:textId="07E56575" w:rsidR="00E904DF" w:rsidRPr="007C4B67" w:rsidRDefault="4D437486" w:rsidP="6FFA0814">
            <w:pPr>
              <w:spacing w:line="259" w:lineRule="auto"/>
              <w:rPr>
                <w:color w:val="auto"/>
              </w:rPr>
            </w:pPr>
            <w:r w:rsidRPr="6FFA0814">
              <w:rPr>
                <w:color w:val="auto"/>
              </w:rPr>
              <w:t>Detailed in section above.</w:t>
            </w:r>
          </w:p>
          <w:p w14:paraId="262272D0" w14:textId="48A83B64" w:rsidR="00E904DF" w:rsidRPr="007C4B67" w:rsidRDefault="00E904DF" w:rsidP="6FFA0814">
            <w:pPr>
              <w:spacing w:line="259" w:lineRule="auto"/>
              <w:rPr>
                <w:color w:val="auto"/>
              </w:rPr>
            </w:pPr>
          </w:p>
        </w:tc>
        <w:tc>
          <w:tcPr>
            <w:tcW w:w="4496" w:type="dxa"/>
          </w:tcPr>
          <w:p w14:paraId="065683AB" w14:textId="07E56575" w:rsidR="00E904DF" w:rsidRPr="007C4B67" w:rsidRDefault="4D437486" w:rsidP="6FFA0814">
            <w:pPr>
              <w:spacing w:line="259" w:lineRule="auto"/>
              <w:rPr>
                <w:color w:val="auto"/>
              </w:rPr>
            </w:pPr>
            <w:r w:rsidRPr="6FFA0814">
              <w:rPr>
                <w:color w:val="auto"/>
              </w:rPr>
              <w:t>Detailed in section above.</w:t>
            </w:r>
          </w:p>
          <w:p w14:paraId="129B4EA9" w14:textId="76430954" w:rsidR="00E904DF" w:rsidRPr="007C4B67" w:rsidRDefault="00E904DF" w:rsidP="6FFA0814">
            <w:pPr>
              <w:spacing w:line="259" w:lineRule="auto"/>
              <w:rPr>
                <w:color w:val="auto"/>
              </w:rPr>
            </w:pPr>
          </w:p>
        </w:tc>
      </w:tr>
      <w:tr w:rsidR="00E904DF" w:rsidRPr="007C4B67" w14:paraId="68CEEA75" w14:textId="77777777" w:rsidTr="6FFA0814">
        <w:trPr>
          <w:trHeight w:val="166"/>
        </w:trPr>
        <w:tc>
          <w:tcPr>
            <w:tcW w:w="2557" w:type="dxa"/>
            <w:shd w:val="clear" w:color="auto" w:fill="D1DEFD" w:themeFill="accent3" w:themeFillTint="33"/>
          </w:tcPr>
          <w:p w14:paraId="15C44D87" w14:textId="77777777" w:rsidR="00E904DF" w:rsidRPr="007A2B49" w:rsidRDefault="00E904DF" w:rsidP="00623DB3">
            <w:r w:rsidRPr="007A2B49">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0"/>
              <w14:checkedState w14:val="2612" w14:font="MS Gothic"/>
              <w14:uncheckedState w14:val="2610" w14:font="MS Gothic"/>
            </w14:checkbox>
          </w:sdtPr>
          <w:sdtEndPr/>
          <w:sdtContent>
            <w:tc>
              <w:tcPr>
                <w:tcW w:w="1138" w:type="dxa"/>
              </w:tcPr>
              <w:p w14:paraId="52DD0E89" w14:textId="04C20685"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07E56575" w:rsidR="00E904DF" w:rsidRPr="007C4B67" w:rsidRDefault="66BF3310" w:rsidP="6FFA0814">
            <w:pPr>
              <w:spacing w:line="259" w:lineRule="auto"/>
              <w:rPr>
                <w:color w:val="auto"/>
              </w:rPr>
            </w:pPr>
            <w:r w:rsidRPr="6FFA0814">
              <w:rPr>
                <w:color w:val="auto"/>
              </w:rPr>
              <w:t>Detailed in section above.</w:t>
            </w:r>
          </w:p>
        </w:tc>
        <w:tc>
          <w:tcPr>
            <w:tcW w:w="4496" w:type="dxa"/>
          </w:tcPr>
          <w:p w14:paraId="219B95CF" w14:textId="24A29E4B" w:rsidR="00E904DF" w:rsidRPr="007C4B67" w:rsidRDefault="66BF3310" w:rsidP="6FFA0814">
            <w:pPr>
              <w:spacing w:line="259" w:lineRule="auto"/>
              <w:rPr>
                <w:color w:val="auto"/>
              </w:rPr>
            </w:pPr>
            <w:r w:rsidRPr="6FFA0814">
              <w:rPr>
                <w:color w:val="auto"/>
              </w:rPr>
              <w:t>Detailed in section above.</w:t>
            </w:r>
          </w:p>
        </w:tc>
      </w:tr>
      <w:tr w:rsidR="00E904DF" w:rsidRPr="007C4B67" w14:paraId="1DEBFCE4" w14:textId="77777777" w:rsidTr="6FFA0814">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9EA1E2B" w14:textId="1994C9C6" w:rsidR="00E904DF" w:rsidRPr="007C4B67" w:rsidRDefault="2CBB8E25" w:rsidP="6FFA0814">
            <w:pPr>
              <w:spacing w:line="259" w:lineRule="auto"/>
              <w:rPr>
                <w:color w:val="auto"/>
              </w:rPr>
            </w:pPr>
            <w:r w:rsidRPr="6FFA0814">
              <w:rPr>
                <w:color w:val="auto"/>
              </w:rPr>
              <w:t>No impact identified.</w:t>
            </w:r>
          </w:p>
          <w:p w14:paraId="7BA51296" w14:textId="2770243B" w:rsidR="00E904DF" w:rsidRPr="007C4B67" w:rsidRDefault="00E904DF" w:rsidP="6FFA0814">
            <w:pPr>
              <w:spacing w:line="259" w:lineRule="auto"/>
              <w:rPr>
                <w:color w:val="auto"/>
              </w:rPr>
            </w:pPr>
          </w:p>
        </w:tc>
        <w:tc>
          <w:tcPr>
            <w:tcW w:w="4496" w:type="dxa"/>
          </w:tcPr>
          <w:p w14:paraId="2173CB26" w14:textId="1994C9C6" w:rsidR="00E904DF" w:rsidRPr="007C4B67" w:rsidRDefault="2CBB8E25" w:rsidP="6FFA0814">
            <w:pPr>
              <w:spacing w:line="259" w:lineRule="auto"/>
              <w:rPr>
                <w:color w:val="auto"/>
              </w:rPr>
            </w:pPr>
            <w:r w:rsidRPr="6FFA0814">
              <w:rPr>
                <w:color w:val="auto"/>
              </w:rPr>
              <w:t>No impact identified.</w:t>
            </w:r>
          </w:p>
          <w:p w14:paraId="06C71136" w14:textId="524CF26F" w:rsidR="00E904DF" w:rsidRPr="007C4B67" w:rsidRDefault="00E904DF" w:rsidP="6FFA0814">
            <w:pPr>
              <w:spacing w:line="259" w:lineRule="auto"/>
              <w:rPr>
                <w:color w:val="auto"/>
              </w:rPr>
            </w:pPr>
          </w:p>
        </w:tc>
      </w:tr>
      <w:tr w:rsidR="00E904DF" w:rsidRPr="007C4B67" w14:paraId="3A524ABB" w14:textId="77777777" w:rsidTr="6FFA0814">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24EC4E77" w:rsidR="00E904DF" w:rsidRPr="007C4B67" w:rsidRDefault="11338C8D" w:rsidP="6FFA0814">
            <w:pPr>
              <w:rPr>
                <w:color w:val="auto"/>
              </w:rPr>
            </w:pPr>
            <w:r w:rsidRPr="6FFA0814">
              <w:rPr>
                <w:color w:val="auto"/>
              </w:rPr>
              <w:t>None identified.</w:t>
            </w:r>
          </w:p>
        </w:tc>
        <w:tc>
          <w:tcPr>
            <w:tcW w:w="4496" w:type="dxa"/>
          </w:tcPr>
          <w:p w14:paraId="2E9C3963" w14:textId="7FAA9EFA" w:rsidR="00E904DF" w:rsidRPr="007C4B67" w:rsidRDefault="11338C8D" w:rsidP="6FFA0814">
            <w:pPr>
              <w:rPr>
                <w:color w:val="auto"/>
              </w:rPr>
            </w:pPr>
            <w:r w:rsidRPr="6FFA0814">
              <w:rPr>
                <w:color w:val="auto"/>
              </w:rPr>
              <w:t>None identified.</w:t>
            </w:r>
          </w:p>
        </w:tc>
      </w:tr>
    </w:tbl>
    <w:p w14:paraId="373606D1" w14:textId="3D422529" w:rsidR="00E904DF" w:rsidRDefault="0046653F" w:rsidP="6FFA0814">
      <w:pPr>
        <w:rPr>
          <w:color w:val="auto"/>
        </w:rPr>
      </w:pPr>
      <w:r w:rsidRPr="6FFA0814">
        <w:rPr>
          <w:color w:val="auto"/>
        </w:rPr>
        <w:br w:type="page"/>
      </w:r>
    </w:p>
    <w:p w14:paraId="4ADD628E" w14:textId="77777777" w:rsidR="00E904DF" w:rsidRDefault="00E904DF" w:rsidP="00E904DF"/>
    <w:p w14:paraId="586D362D" w14:textId="3ACA9526" w:rsidR="004E69F3" w:rsidRDefault="004E69F3" w:rsidP="004E69F3">
      <w:pPr>
        <w:pStyle w:val="Heading2"/>
      </w:pPr>
      <w:bookmarkStart w:id="8" w:name="_Toc126841210"/>
      <w:r>
        <w:t>Evaluation</w:t>
      </w:r>
      <w:bookmarkEnd w:id="8"/>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6FFA0814">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6FFA0814">
        <w:trPr>
          <w:trHeight w:val="505"/>
        </w:trPr>
        <w:tc>
          <w:tcPr>
            <w:tcW w:w="6581" w:type="dxa"/>
          </w:tcPr>
          <w:p w14:paraId="397DD0BD" w14:textId="77777777" w:rsidR="00E904DF" w:rsidRDefault="00E904DF" w:rsidP="00E904DF">
            <w:pPr>
              <w:numPr>
                <w:ilvl w:val="0"/>
                <w:numId w:val="25"/>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6FFA0814">
        <w:trPr>
          <w:trHeight w:val="1026"/>
        </w:trPr>
        <w:tc>
          <w:tcPr>
            <w:tcW w:w="6581" w:type="dxa"/>
          </w:tcPr>
          <w:p w14:paraId="5B5B15E0" w14:textId="45C043BE" w:rsidR="009A5E6A" w:rsidRPr="009A5E6A" w:rsidRDefault="00E904DF" w:rsidP="009A5E6A">
            <w:pPr>
              <w:numPr>
                <w:ilvl w:val="0"/>
                <w:numId w:val="25"/>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4063CBB4" w14:textId="3817329D" w:rsidR="111BF303" w:rsidRDefault="111BF303">
                <w:r w:rsidRPr="6FFA0814">
                  <w:rPr>
                    <w:rFonts w:ascii="MS Gothic" w:eastAsia="MS Gothic" w:hAnsi="MS Gothic" w:cs="MS Gothic"/>
                  </w:rPr>
                  <w:t>☒</w:t>
                </w:r>
              </w:p>
            </w:tc>
          </w:sdtContent>
        </w:sdt>
        <w:tc>
          <w:tcPr>
            <w:tcW w:w="6804" w:type="dxa"/>
          </w:tcPr>
          <w:p w14:paraId="06B81F0A" w14:textId="0897D6FE" w:rsidR="009A5E6A" w:rsidRPr="00F83734" w:rsidRDefault="0517F7BB" w:rsidP="009A5E6A">
            <w:r>
              <w:t>The activity has been</w:t>
            </w:r>
            <w:r w:rsidR="27BC689C">
              <w:t xml:space="preserve"> a</w:t>
            </w:r>
            <w:r w:rsidR="1745BD88">
              <w:t>dapt</w:t>
            </w:r>
            <w:r>
              <w:t>ed</w:t>
            </w:r>
            <w:r w:rsidR="1745BD88">
              <w:t xml:space="preserve"> following </w:t>
            </w:r>
            <w:r w:rsidR="27BC689C">
              <w:t xml:space="preserve">the </w:t>
            </w:r>
            <w:r w:rsidR="1745BD88">
              <w:t xml:space="preserve">actions described in </w:t>
            </w:r>
            <w:r w:rsidR="27BC689C">
              <w:t xml:space="preserve">the </w:t>
            </w:r>
            <w:r w:rsidR="1745BD88">
              <w:t>previous section.</w:t>
            </w:r>
            <w:r w:rsidR="32FC7D83">
              <w:t xml:space="preserve"> We will ensure active consideration of ED&amp;I aspects throughout the activity and will review this EIA accordingly.</w:t>
            </w:r>
          </w:p>
        </w:tc>
      </w:tr>
      <w:tr w:rsidR="009A5E6A" w:rsidRPr="009A5E6A" w14:paraId="0AF5DEE8" w14:textId="77777777" w:rsidTr="6FFA0814">
        <w:trPr>
          <w:trHeight w:val="766"/>
        </w:trPr>
        <w:tc>
          <w:tcPr>
            <w:tcW w:w="6581" w:type="dxa"/>
          </w:tcPr>
          <w:p w14:paraId="3201A062" w14:textId="2BE5FF14" w:rsidR="00E904DF" w:rsidRPr="008E3656" w:rsidRDefault="00E904DF" w:rsidP="00E904DF">
            <w:pPr>
              <w:numPr>
                <w:ilvl w:val="0"/>
                <w:numId w:val="25"/>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6FFA0814">
        <w:trPr>
          <w:trHeight w:val="2127"/>
        </w:trPr>
        <w:tc>
          <w:tcPr>
            <w:tcW w:w="6581" w:type="dxa"/>
          </w:tcPr>
          <w:p w14:paraId="48854909" w14:textId="52BD3C0D" w:rsidR="00E904DF" w:rsidRPr="008E3656" w:rsidRDefault="00E904DF" w:rsidP="00E904DF">
            <w:pPr>
              <w:numPr>
                <w:ilvl w:val="0"/>
                <w:numId w:val="25"/>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w:t>
            </w:r>
            <w:proofErr w:type="gramStart"/>
            <w:r w:rsidRPr="008E3656">
              <w:t>e.g.</w:t>
            </w:r>
            <w:proofErr w:type="gramEnd"/>
            <w:r w:rsidRPr="008E3656">
              <w:t xml:space="preserve">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3E8F2063" w14:textId="43384DCC" w:rsidR="00BB4B26" w:rsidRDefault="0046653F" w:rsidP="6FFA0814">
      <w:r>
        <w:br w:type="page"/>
      </w:r>
      <w:bookmarkStart w:id="9"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9"/>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6FFA0814">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994087B" w14:textId="321BAD7B" w:rsidR="20C07987" w:rsidRDefault="20C07987" w:rsidP="20C07987"/>
          <w:p w14:paraId="40826E64" w14:textId="0FA62E0A" w:rsidR="00CD32EF" w:rsidRPr="00CD32EF" w:rsidRDefault="543DF104" w:rsidP="00CD32EF">
            <w:pPr>
              <w:numPr>
                <w:ilvl w:val="0"/>
                <w:numId w:val="27"/>
              </w:numPr>
            </w:pPr>
            <w:r>
              <w:t>Regular</w:t>
            </w:r>
            <w:r w:rsidR="13ADEF8D">
              <w:t xml:space="preserve"> reviews of the EIA and action plan</w:t>
            </w:r>
            <w:r w:rsidR="1E97EAC2">
              <w:t xml:space="preserve">. </w:t>
            </w:r>
          </w:p>
          <w:p w14:paraId="19A67E64" w14:textId="6E93A476" w:rsidR="00CD32EF" w:rsidRPr="00CD32EF" w:rsidRDefault="13ADEF8D" w:rsidP="00CD32EF">
            <w:pPr>
              <w:numPr>
                <w:ilvl w:val="0"/>
                <w:numId w:val="27"/>
              </w:numPr>
            </w:pPr>
            <w:r>
              <w:t xml:space="preserve">Review the EIA as part </w:t>
            </w:r>
            <w:r w:rsidR="6C5669B2">
              <w:t>a</w:t>
            </w:r>
            <w:r>
              <w:t xml:space="preserve"> </w:t>
            </w:r>
            <w:proofErr w:type="gramStart"/>
            <w:r>
              <w:t>lessons</w:t>
            </w:r>
            <w:proofErr w:type="gramEnd"/>
            <w:r>
              <w:t xml:space="preserve"> learned activity.  </w:t>
            </w:r>
          </w:p>
          <w:p w14:paraId="234B7EDF" w14:textId="77777777" w:rsidR="00CD32EF" w:rsidRPr="00CD32EF" w:rsidRDefault="00CD32EF" w:rsidP="00CD32EF">
            <w:pPr>
              <w:rPr>
                <w:i/>
                <w:iCs/>
              </w:rPr>
            </w:pPr>
          </w:p>
          <w:p w14:paraId="224F01DD" w14:textId="77777777" w:rsidR="00CD32EF" w:rsidRPr="00CD32EF" w:rsidRDefault="00CD32EF" w:rsidP="00CD32EF"/>
        </w:tc>
      </w:tr>
      <w:tr w:rsidR="00CD32EF" w:rsidRPr="00CD32EF" w14:paraId="0D14EC66" w14:textId="77777777" w:rsidTr="6FFA0814">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09DDB3D" w:rsidR="00CD32EF" w:rsidRPr="00CD32EF" w:rsidRDefault="3E6CF2FA" w:rsidP="6FFA0814">
            <w:pPr>
              <w:rPr>
                <w:i/>
                <w:iCs/>
              </w:rPr>
            </w:pPr>
            <w:r w:rsidRPr="6FFA0814">
              <w:rPr>
                <w:i/>
                <w:iCs/>
              </w:rPr>
              <w:t xml:space="preserve">Date of opportunity closure. </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6FFA0814">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79818380" w:rsidR="008A1D09" w:rsidRPr="008A1D09" w:rsidRDefault="1A340847" w:rsidP="6FFA0814">
            <w:r>
              <w:t>Yes</w:t>
            </w:r>
          </w:p>
          <w:p w14:paraId="6916AE83" w14:textId="77777777" w:rsidR="008A1D09" w:rsidRPr="008A1D09" w:rsidRDefault="008A1D09" w:rsidP="008A1D09">
            <w:pPr>
              <w:rPr>
                <w:bCs/>
              </w:rPr>
            </w:pPr>
          </w:p>
          <w:p w14:paraId="5C620FC5" w14:textId="4DDF7B37" w:rsidR="008A1D09" w:rsidRPr="008A1D09" w:rsidRDefault="008A1D09" w:rsidP="008A1D09"/>
        </w:tc>
      </w:tr>
      <w:tr w:rsidR="008A1D09" w:rsidRPr="008A1D09" w14:paraId="7FFBF3FA" w14:textId="77777777" w:rsidTr="6FFA0814">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8CD2771" w14:textId="3BE05DD2" w:rsidR="56D6398F" w:rsidRDefault="56D6398F" w:rsidP="6FFA0814">
            <w:pPr>
              <w:spacing w:line="259" w:lineRule="auto"/>
            </w:pPr>
            <w:r>
              <w:t>EPSRC Advanced Materials</w:t>
            </w:r>
          </w:p>
          <w:p w14:paraId="2ED01680" w14:textId="608C5514" w:rsidR="008A1D09" w:rsidRPr="008A1D09" w:rsidRDefault="008A1D09" w:rsidP="008A1D09">
            <w:pPr>
              <w:rPr>
                <w:bCs/>
              </w:rPr>
            </w:pPr>
          </w:p>
        </w:tc>
      </w:tr>
      <w:tr w:rsidR="008A1D09" w:rsidRPr="008A1D09" w14:paraId="40BBFF79" w14:textId="77777777" w:rsidTr="6FFA0814">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04D4E62D" w14:textId="49EFFF9F" w:rsidR="008A1D09" w:rsidRPr="008A1D09" w:rsidRDefault="46604EA5" w:rsidP="6FFA0814">
            <w:pPr>
              <w:spacing w:line="259" w:lineRule="auto"/>
            </w:pPr>
            <w:r>
              <w:t>Ellen Guest 02/04/2024</w:t>
            </w:r>
          </w:p>
          <w:p w14:paraId="331827CF" w14:textId="02761321" w:rsidR="008A1D09" w:rsidRPr="008A1D09" w:rsidRDefault="008A1D09" w:rsidP="6FFA0814">
            <w:pPr>
              <w:spacing w:line="259" w:lineRule="auto"/>
            </w:pPr>
          </w:p>
        </w:tc>
      </w:tr>
      <w:tr w:rsidR="008A1D09" w:rsidRPr="008A1D09" w14:paraId="69669229" w14:textId="77777777" w:rsidTr="6FFA0814">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006141A9">
              <w:rPr>
                <w:b/>
              </w:rPr>
              <w:t>Once your EIA is c</w:t>
            </w:r>
            <w:r w:rsidR="008A1D09" w:rsidRPr="006141A9">
              <w:rPr>
                <w:b/>
              </w:rPr>
              <w:t>ompleted</w:t>
            </w:r>
            <w:r w:rsidRPr="006141A9">
              <w:rPr>
                <w:b/>
              </w:rPr>
              <w:t xml:space="preserve"> or updated:</w:t>
            </w:r>
          </w:p>
          <w:p w14:paraId="0A38024B" w14:textId="77777777" w:rsidR="006141A9" w:rsidRPr="006141A9" w:rsidRDefault="006141A9" w:rsidP="006141A9">
            <w:pPr>
              <w:pStyle w:val="ListParagraph"/>
              <w:numPr>
                <w:ilvl w:val="0"/>
                <w:numId w:val="37"/>
              </w:numPr>
              <w:jc w:val="center"/>
              <w:rPr>
                <w:b/>
                <w:color w:val="005E54"/>
                <w:u w:val="single"/>
              </w:rPr>
            </w:pPr>
            <w:r w:rsidRPr="006141A9">
              <w:rPr>
                <w:b/>
              </w:rPr>
              <w:t>Email it</w:t>
            </w:r>
            <w:r w:rsidR="00A93B94" w:rsidRPr="006141A9">
              <w:rPr>
                <w:b/>
              </w:rPr>
              <w:t xml:space="preserve"> to</w:t>
            </w:r>
            <w:r w:rsidRPr="006141A9">
              <w:rPr>
                <w:b/>
              </w:rPr>
              <w:t xml:space="preserve"> your</w:t>
            </w:r>
            <w:r w:rsidR="00A93B94" w:rsidRPr="006141A9">
              <w:rPr>
                <w:b/>
              </w:rPr>
              <w:t xml:space="preserve"> </w:t>
            </w:r>
            <w:hyperlink r:id="rId19">
              <w:r w:rsidR="0937908B" w:rsidRPr="006141A9">
                <w:rPr>
                  <w:rStyle w:val="Hyperlink"/>
                  <w:b/>
                  <w:bCs/>
                  <w:sz w:val="24"/>
                  <w:szCs w:val="24"/>
                </w:rPr>
                <w:t>council</w:t>
              </w:r>
            </w:hyperlink>
            <w:r w:rsidR="00A93B94" w:rsidRPr="006141A9">
              <w:rPr>
                <w:b/>
              </w:rPr>
              <w:t xml:space="preserve"> </w:t>
            </w:r>
            <w:r w:rsidRPr="006141A9">
              <w:rPr>
                <w:b/>
              </w:rPr>
              <w:t xml:space="preserve">EDI team </w:t>
            </w:r>
            <w:r w:rsidR="008879EC" w:rsidRPr="006141A9">
              <w:rPr>
                <w:b/>
              </w:rPr>
              <w:t xml:space="preserve">and </w:t>
            </w:r>
          </w:p>
          <w:p w14:paraId="5F4C9E66" w14:textId="2ADE29AA" w:rsidR="008A1D09" w:rsidRPr="006141A9" w:rsidRDefault="006141A9" w:rsidP="006141A9">
            <w:pPr>
              <w:pStyle w:val="ListParagraph"/>
              <w:numPr>
                <w:ilvl w:val="0"/>
                <w:numId w:val="37"/>
              </w:numPr>
              <w:jc w:val="center"/>
              <w:rPr>
                <w:rStyle w:val="Hyperlink"/>
                <w:b/>
              </w:rPr>
            </w:pPr>
            <w:r w:rsidRPr="006141A9">
              <w:rPr>
                <w:b/>
              </w:rPr>
              <w:t xml:space="preserve">Upload it </w:t>
            </w:r>
            <w:r w:rsidR="008A1D09" w:rsidRPr="006141A9">
              <w:rPr>
                <w:b/>
              </w:rPr>
              <w:t xml:space="preserve">to the </w:t>
            </w:r>
            <w:r w:rsidR="001A6FE6" w:rsidRPr="006141A9">
              <w:rPr>
                <w:b/>
              </w:rPr>
              <w:t xml:space="preserve">UKRI </w:t>
            </w:r>
            <w:r w:rsidR="008A1D09" w:rsidRPr="006141A9">
              <w:rPr>
                <w:b/>
              </w:rPr>
              <w:t xml:space="preserve">central </w:t>
            </w:r>
            <w:r w:rsidR="4154B5BF" w:rsidRPr="006141A9">
              <w:rPr>
                <w:b/>
                <w:bCs/>
              </w:rPr>
              <w:t>repository</w:t>
            </w:r>
            <w:r w:rsidR="008A1D09" w:rsidRPr="006141A9">
              <w:rPr>
                <w:b/>
              </w:rPr>
              <w:t xml:space="preserve"> via </w:t>
            </w:r>
            <w:r w:rsidR="000D0DD2" w:rsidRPr="006141A9">
              <w:rPr>
                <w:b/>
              </w:rPr>
              <w:fldChar w:fldCharType="begin"/>
            </w:r>
            <w:r w:rsidR="000D0DD2" w:rsidRPr="006141A9">
              <w:rPr>
                <w:b/>
              </w:rPr>
              <w:instrText xml:space="preserve"> </w:instrText>
            </w:r>
            <w:r w:rsidR="000D0DD2" w:rsidRPr="006141A9">
              <w:rPr>
                <w:b/>
                <w:sz w:val="24"/>
                <w:szCs w:val="24"/>
              </w:rPr>
              <w:instrText xml:space="preserve">HYPERLINK </w:instrText>
            </w:r>
            <w:r w:rsidR="000D0DD2" w:rsidRPr="006141A9">
              <w:rPr>
                <w:b/>
              </w:rPr>
              <w:instrText xml:space="preserve">"https://forms.office.com/Pages/ResponsePage.aspx?id=juC3i6TajkqSfvyjjbBLfuzmJllr2UxPiagnQdB9dGBUMzFPRDY0RUJIRlpCRkwzN01WMTJWM1BKRCQlQCN0PWcu" </w:instrText>
            </w:r>
            <w:r w:rsidR="000D0DD2" w:rsidRPr="006141A9">
              <w:rPr>
                <w:b/>
              </w:rPr>
            </w:r>
            <w:r w:rsidR="000D0DD2" w:rsidRPr="006141A9">
              <w:rPr>
                <w:b/>
              </w:rPr>
              <w:fldChar w:fldCharType="separate"/>
            </w:r>
            <w:r w:rsidR="00255DAD" w:rsidRPr="006141A9">
              <w:rPr>
                <w:rStyle w:val="Hyperlink"/>
                <w:b/>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0" w:name="_Toc126841212"/>
      <w:r>
        <w:lastRenderedPageBreak/>
        <w:t xml:space="preserve">Change </w:t>
      </w:r>
      <w:proofErr w:type="gramStart"/>
      <w:r>
        <w:t>log</w:t>
      </w:r>
      <w:bookmarkEnd w:id="10"/>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6FFA0814">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6FFA0814">
        <w:trPr>
          <w:cantSplit/>
        </w:trPr>
        <w:tc>
          <w:tcPr>
            <w:tcW w:w="880" w:type="pct"/>
          </w:tcPr>
          <w:p w14:paraId="3734EB6B" w14:textId="0B348BFE" w:rsidR="00A327BC" w:rsidRPr="003C013C" w:rsidRDefault="29DFB182" w:rsidP="00823025">
            <w:pPr>
              <w:rPr>
                <w:rFonts w:cs="Arial"/>
                <w:color w:val="000000" w:themeColor="text1"/>
              </w:rPr>
            </w:pPr>
            <w:r w:rsidRPr="6FFA0814">
              <w:rPr>
                <w:rFonts w:cs="Arial"/>
                <w:color w:val="000000" w:themeColor="text1"/>
              </w:rPr>
              <w:t>Ellen Guest</w:t>
            </w:r>
          </w:p>
        </w:tc>
        <w:tc>
          <w:tcPr>
            <w:tcW w:w="590" w:type="pct"/>
          </w:tcPr>
          <w:p w14:paraId="0438313B" w14:textId="0198BCB4" w:rsidR="00A327BC" w:rsidRPr="003C013C" w:rsidRDefault="29DFB182" w:rsidP="00823025">
            <w:pPr>
              <w:rPr>
                <w:rFonts w:cs="Arial"/>
                <w:color w:val="000000" w:themeColor="text1"/>
              </w:rPr>
            </w:pPr>
            <w:r w:rsidRPr="6FFA0814">
              <w:rPr>
                <w:rFonts w:cs="Arial"/>
                <w:color w:val="000000" w:themeColor="text1"/>
              </w:rPr>
              <w:t>02/04/2024</w:t>
            </w: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AFD4D2E" w:rsidR="00A327BC" w:rsidRPr="006141A9" w:rsidRDefault="334D97E6" w:rsidP="6FFA0814">
            <w:pPr>
              <w:spacing w:line="259" w:lineRule="auto"/>
            </w:pPr>
            <w:r w:rsidRPr="6FFA0814">
              <w:rPr>
                <w:rFonts w:cs="Arial"/>
                <w:color w:val="595959" w:themeColor="text1" w:themeTint="A6"/>
              </w:rPr>
              <w:t xml:space="preserve">Based on </w:t>
            </w:r>
            <w:proofErr w:type="spellStart"/>
            <w:r w:rsidRPr="6FFA0814">
              <w:rPr>
                <w:rFonts w:cs="Arial"/>
                <w:color w:val="595959" w:themeColor="text1" w:themeTint="A6"/>
              </w:rPr>
              <w:t>consulation</w:t>
            </w:r>
            <w:proofErr w:type="spellEnd"/>
            <w:r w:rsidRPr="6FFA0814">
              <w:rPr>
                <w:rFonts w:cs="Arial"/>
                <w:color w:val="595959" w:themeColor="text1" w:themeTint="A6"/>
              </w:rPr>
              <w:t xml:space="preserve"> with previous UKRI EIAs for similar activities. Prior to opportunity opening. </w:t>
            </w:r>
          </w:p>
        </w:tc>
      </w:tr>
    </w:tbl>
    <w:p w14:paraId="0F162D9A" w14:textId="7EB19594" w:rsidR="0046653F" w:rsidRDefault="0046653F" w:rsidP="007C366B"/>
    <w:p w14:paraId="7DC44E24" w14:textId="4B841316" w:rsidR="0046653F" w:rsidRDefault="0046653F">
      <w:r>
        <w:br w:type="page"/>
      </w:r>
    </w:p>
    <w:p w14:paraId="24C6EE52" w14:textId="77777777" w:rsidR="00A327BC" w:rsidRDefault="00A327BC" w:rsidP="007C366B"/>
    <w:p w14:paraId="18727E8B" w14:textId="7CA74439" w:rsidR="004E69F3" w:rsidRPr="004E69F3" w:rsidRDefault="00A327BC" w:rsidP="004E69F3">
      <w:pPr>
        <w:pStyle w:val="Heading2"/>
      </w:pPr>
      <w:bookmarkStart w:id="11" w:name="_Toc126841213"/>
      <w:r>
        <w:t>Action plan</w:t>
      </w:r>
      <w:bookmarkEnd w:id="11"/>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2" w:name="_Int_ezeNiRKZ"/>
            <w:proofErr w:type="gramStart"/>
            <w:r>
              <w:t>e.g.</w:t>
            </w:r>
            <w:bookmarkEnd w:id="12"/>
            <w:proofErr w:type="gramEnd"/>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707B" w14:textId="77777777" w:rsidR="00AA5190" w:rsidRDefault="00AA5190" w:rsidP="001F62C7">
      <w:r>
        <w:separator/>
      </w:r>
    </w:p>
  </w:endnote>
  <w:endnote w:type="continuationSeparator" w:id="0">
    <w:p w14:paraId="04E77ED1" w14:textId="77777777" w:rsidR="00AA5190" w:rsidRDefault="00AA5190" w:rsidP="001F62C7">
      <w:r>
        <w:continuationSeparator/>
      </w:r>
    </w:p>
  </w:endnote>
  <w:endnote w:type="continuationNotice" w:id="1">
    <w:p w14:paraId="46582353" w14:textId="77777777" w:rsidR="00AA5190" w:rsidRDefault="00AA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922CE8"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2855" w14:textId="77777777" w:rsidR="00AA5190" w:rsidRDefault="00AA5190" w:rsidP="001F62C7">
      <w:r>
        <w:separator/>
      </w:r>
    </w:p>
  </w:footnote>
  <w:footnote w:type="continuationSeparator" w:id="0">
    <w:p w14:paraId="4DD451D0" w14:textId="77777777" w:rsidR="00AA5190" w:rsidRDefault="00AA5190" w:rsidP="001F62C7">
      <w:r>
        <w:continuationSeparator/>
      </w:r>
    </w:p>
  </w:footnote>
  <w:footnote w:type="continuationNotice" w:id="1">
    <w:p w14:paraId="500D6BEC" w14:textId="77777777" w:rsidR="00AA5190" w:rsidRDefault="00AA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ezeNiRKZ" int2:invalidationBookmarkName="" int2:hashCode="f1OmjTJDRvyEV6" int2:id="6f7vA56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0F0C7"/>
    <w:multiLevelType w:val="hybridMultilevel"/>
    <w:tmpl w:val="C51C7E8C"/>
    <w:lvl w:ilvl="0" w:tplc="322E9390">
      <w:start w:val="1"/>
      <w:numFmt w:val="bullet"/>
      <w:lvlText w:val=""/>
      <w:lvlJc w:val="left"/>
      <w:pPr>
        <w:ind w:left="720" w:hanging="360"/>
      </w:pPr>
      <w:rPr>
        <w:rFonts w:ascii="Symbol" w:hAnsi="Symbol" w:hint="default"/>
      </w:rPr>
    </w:lvl>
    <w:lvl w:ilvl="1" w:tplc="7820F8CC">
      <w:start w:val="1"/>
      <w:numFmt w:val="bullet"/>
      <w:lvlText w:val="o"/>
      <w:lvlJc w:val="left"/>
      <w:pPr>
        <w:ind w:left="1440" w:hanging="360"/>
      </w:pPr>
      <w:rPr>
        <w:rFonts w:ascii="Courier New" w:hAnsi="Courier New" w:hint="default"/>
      </w:rPr>
    </w:lvl>
    <w:lvl w:ilvl="2" w:tplc="48F8B7B2">
      <w:start w:val="1"/>
      <w:numFmt w:val="bullet"/>
      <w:lvlText w:val=""/>
      <w:lvlJc w:val="left"/>
      <w:pPr>
        <w:ind w:left="2160" w:hanging="360"/>
      </w:pPr>
      <w:rPr>
        <w:rFonts w:ascii="Wingdings" w:hAnsi="Wingdings" w:hint="default"/>
      </w:rPr>
    </w:lvl>
    <w:lvl w:ilvl="3" w:tplc="C1648E58">
      <w:start w:val="1"/>
      <w:numFmt w:val="bullet"/>
      <w:lvlText w:val=""/>
      <w:lvlJc w:val="left"/>
      <w:pPr>
        <w:ind w:left="2880" w:hanging="360"/>
      </w:pPr>
      <w:rPr>
        <w:rFonts w:ascii="Symbol" w:hAnsi="Symbol" w:hint="default"/>
      </w:rPr>
    </w:lvl>
    <w:lvl w:ilvl="4" w:tplc="69CAE9B2">
      <w:start w:val="1"/>
      <w:numFmt w:val="bullet"/>
      <w:lvlText w:val="o"/>
      <w:lvlJc w:val="left"/>
      <w:pPr>
        <w:ind w:left="3600" w:hanging="360"/>
      </w:pPr>
      <w:rPr>
        <w:rFonts w:ascii="Courier New" w:hAnsi="Courier New" w:hint="default"/>
      </w:rPr>
    </w:lvl>
    <w:lvl w:ilvl="5" w:tplc="D19C0252">
      <w:start w:val="1"/>
      <w:numFmt w:val="bullet"/>
      <w:lvlText w:val=""/>
      <w:lvlJc w:val="left"/>
      <w:pPr>
        <w:ind w:left="4320" w:hanging="360"/>
      </w:pPr>
      <w:rPr>
        <w:rFonts w:ascii="Wingdings" w:hAnsi="Wingdings" w:hint="default"/>
      </w:rPr>
    </w:lvl>
    <w:lvl w:ilvl="6" w:tplc="4FACF884">
      <w:start w:val="1"/>
      <w:numFmt w:val="bullet"/>
      <w:lvlText w:val=""/>
      <w:lvlJc w:val="left"/>
      <w:pPr>
        <w:ind w:left="5040" w:hanging="360"/>
      </w:pPr>
      <w:rPr>
        <w:rFonts w:ascii="Symbol" w:hAnsi="Symbol" w:hint="default"/>
      </w:rPr>
    </w:lvl>
    <w:lvl w:ilvl="7" w:tplc="647A1D66">
      <w:start w:val="1"/>
      <w:numFmt w:val="bullet"/>
      <w:lvlText w:val="o"/>
      <w:lvlJc w:val="left"/>
      <w:pPr>
        <w:ind w:left="5760" w:hanging="360"/>
      </w:pPr>
      <w:rPr>
        <w:rFonts w:ascii="Courier New" w:hAnsi="Courier New" w:hint="default"/>
      </w:rPr>
    </w:lvl>
    <w:lvl w:ilvl="8" w:tplc="341A38DE">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676DA"/>
    <w:multiLevelType w:val="hybridMultilevel"/>
    <w:tmpl w:val="A8400F86"/>
    <w:lvl w:ilvl="0" w:tplc="E446E654">
      <w:start w:val="1"/>
      <w:numFmt w:val="bullet"/>
      <w:lvlText w:val=""/>
      <w:lvlJc w:val="left"/>
      <w:pPr>
        <w:ind w:left="720" w:hanging="360"/>
      </w:pPr>
      <w:rPr>
        <w:rFonts w:ascii="Symbol" w:hAnsi="Symbol" w:hint="default"/>
      </w:rPr>
    </w:lvl>
    <w:lvl w:ilvl="1" w:tplc="C4348288">
      <w:start w:val="1"/>
      <w:numFmt w:val="bullet"/>
      <w:lvlText w:val="o"/>
      <w:lvlJc w:val="left"/>
      <w:pPr>
        <w:ind w:left="1440" w:hanging="360"/>
      </w:pPr>
      <w:rPr>
        <w:rFonts w:ascii="Courier New" w:hAnsi="Courier New" w:hint="default"/>
      </w:rPr>
    </w:lvl>
    <w:lvl w:ilvl="2" w:tplc="FB1857DE">
      <w:start w:val="1"/>
      <w:numFmt w:val="bullet"/>
      <w:lvlText w:val=""/>
      <w:lvlJc w:val="left"/>
      <w:pPr>
        <w:ind w:left="2160" w:hanging="360"/>
      </w:pPr>
      <w:rPr>
        <w:rFonts w:ascii="Wingdings" w:hAnsi="Wingdings" w:hint="default"/>
      </w:rPr>
    </w:lvl>
    <w:lvl w:ilvl="3" w:tplc="4E72029E">
      <w:start w:val="1"/>
      <w:numFmt w:val="bullet"/>
      <w:lvlText w:val=""/>
      <w:lvlJc w:val="left"/>
      <w:pPr>
        <w:ind w:left="2880" w:hanging="360"/>
      </w:pPr>
      <w:rPr>
        <w:rFonts w:ascii="Symbol" w:hAnsi="Symbol" w:hint="default"/>
      </w:rPr>
    </w:lvl>
    <w:lvl w:ilvl="4" w:tplc="A7829ED4">
      <w:start w:val="1"/>
      <w:numFmt w:val="bullet"/>
      <w:lvlText w:val="o"/>
      <w:lvlJc w:val="left"/>
      <w:pPr>
        <w:ind w:left="3600" w:hanging="360"/>
      </w:pPr>
      <w:rPr>
        <w:rFonts w:ascii="Courier New" w:hAnsi="Courier New" w:hint="default"/>
      </w:rPr>
    </w:lvl>
    <w:lvl w:ilvl="5" w:tplc="B6CA1A9C">
      <w:start w:val="1"/>
      <w:numFmt w:val="bullet"/>
      <w:lvlText w:val=""/>
      <w:lvlJc w:val="left"/>
      <w:pPr>
        <w:ind w:left="4320" w:hanging="360"/>
      </w:pPr>
      <w:rPr>
        <w:rFonts w:ascii="Wingdings" w:hAnsi="Wingdings" w:hint="default"/>
      </w:rPr>
    </w:lvl>
    <w:lvl w:ilvl="6" w:tplc="5ABC75B4">
      <w:start w:val="1"/>
      <w:numFmt w:val="bullet"/>
      <w:lvlText w:val=""/>
      <w:lvlJc w:val="left"/>
      <w:pPr>
        <w:ind w:left="5040" w:hanging="360"/>
      </w:pPr>
      <w:rPr>
        <w:rFonts w:ascii="Symbol" w:hAnsi="Symbol" w:hint="default"/>
      </w:rPr>
    </w:lvl>
    <w:lvl w:ilvl="7" w:tplc="1A84930A">
      <w:start w:val="1"/>
      <w:numFmt w:val="bullet"/>
      <w:lvlText w:val="o"/>
      <w:lvlJc w:val="left"/>
      <w:pPr>
        <w:ind w:left="5760" w:hanging="360"/>
      </w:pPr>
      <w:rPr>
        <w:rFonts w:ascii="Courier New" w:hAnsi="Courier New" w:hint="default"/>
      </w:rPr>
    </w:lvl>
    <w:lvl w:ilvl="8" w:tplc="8D603762">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CC5D0"/>
    <w:multiLevelType w:val="hybridMultilevel"/>
    <w:tmpl w:val="563A5C7A"/>
    <w:lvl w:ilvl="0" w:tplc="3202C458">
      <w:start w:val="1"/>
      <w:numFmt w:val="bullet"/>
      <w:lvlText w:val=""/>
      <w:lvlJc w:val="left"/>
      <w:pPr>
        <w:ind w:left="720" w:hanging="360"/>
      </w:pPr>
      <w:rPr>
        <w:rFonts w:ascii="Symbol" w:hAnsi="Symbol" w:hint="default"/>
      </w:rPr>
    </w:lvl>
    <w:lvl w:ilvl="1" w:tplc="101E8BA0">
      <w:start w:val="1"/>
      <w:numFmt w:val="bullet"/>
      <w:lvlText w:val="o"/>
      <w:lvlJc w:val="left"/>
      <w:pPr>
        <w:ind w:left="1440" w:hanging="360"/>
      </w:pPr>
      <w:rPr>
        <w:rFonts w:ascii="Courier New" w:hAnsi="Courier New" w:hint="default"/>
      </w:rPr>
    </w:lvl>
    <w:lvl w:ilvl="2" w:tplc="09566376">
      <w:start w:val="1"/>
      <w:numFmt w:val="bullet"/>
      <w:lvlText w:val=""/>
      <w:lvlJc w:val="left"/>
      <w:pPr>
        <w:ind w:left="2160" w:hanging="360"/>
      </w:pPr>
      <w:rPr>
        <w:rFonts w:ascii="Wingdings" w:hAnsi="Wingdings" w:hint="default"/>
      </w:rPr>
    </w:lvl>
    <w:lvl w:ilvl="3" w:tplc="31B69864">
      <w:start w:val="1"/>
      <w:numFmt w:val="bullet"/>
      <w:lvlText w:val=""/>
      <w:lvlJc w:val="left"/>
      <w:pPr>
        <w:ind w:left="2880" w:hanging="360"/>
      </w:pPr>
      <w:rPr>
        <w:rFonts w:ascii="Symbol" w:hAnsi="Symbol" w:hint="default"/>
      </w:rPr>
    </w:lvl>
    <w:lvl w:ilvl="4" w:tplc="B9B02880">
      <w:start w:val="1"/>
      <w:numFmt w:val="bullet"/>
      <w:lvlText w:val="o"/>
      <w:lvlJc w:val="left"/>
      <w:pPr>
        <w:ind w:left="3600" w:hanging="360"/>
      </w:pPr>
      <w:rPr>
        <w:rFonts w:ascii="Courier New" w:hAnsi="Courier New" w:hint="default"/>
      </w:rPr>
    </w:lvl>
    <w:lvl w:ilvl="5" w:tplc="3C38BBF6">
      <w:start w:val="1"/>
      <w:numFmt w:val="bullet"/>
      <w:lvlText w:val=""/>
      <w:lvlJc w:val="left"/>
      <w:pPr>
        <w:ind w:left="4320" w:hanging="360"/>
      </w:pPr>
      <w:rPr>
        <w:rFonts w:ascii="Wingdings" w:hAnsi="Wingdings" w:hint="default"/>
      </w:rPr>
    </w:lvl>
    <w:lvl w:ilvl="6" w:tplc="7AF81492">
      <w:start w:val="1"/>
      <w:numFmt w:val="bullet"/>
      <w:lvlText w:val=""/>
      <w:lvlJc w:val="left"/>
      <w:pPr>
        <w:ind w:left="5040" w:hanging="360"/>
      </w:pPr>
      <w:rPr>
        <w:rFonts w:ascii="Symbol" w:hAnsi="Symbol" w:hint="default"/>
      </w:rPr>
    </w:lvl>
    <w:lvl w:ilvl="7" w:tplc="A008E572">
      <w:start w:val="1"/>
      <w:numFmt w:val="bullet"/>
      <w:lvlText w:val="o"/>
      <w:lvlJc w:val="left"/>
      <w:pPr>
        <w:ind w:left="5760" w:hanging="360"/>
      </w:pPr>
      <w:rPr>
        <w:rFonts w:ascii="Courier New" w:hAnsi="Courier New" w:hint="default"/>
      </w:rPr>
    </w:lvl>
    <w:lvl w:ilvl="8" w:tplc="FF7006C0">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8" w15:restartNumberingAfterBreak="0">
    <w:nsid w:val="61308FAA"/>
    <w:multiLevelType w:val="hybridMultilevel"/>
    <w:tmpl w:val="3C1A2EBE"/>
    <w:lvl w:ilvl="0" w:tplc="9A88FFBA">
      <w:start w:val="1"/>
      <w:numFmt w:val="bullet"/>
      <w:lvlText w:val=""/>
      <w:lvlJc w:val="left"/>
      <w:pPr>
        <w:ind w:left="720" w:hanging="360"/>
      </w:pPr>
      <w:rPr>
        <w:rFonts w:ascii="Symbol" w:hAnsi="Symbol" w:hint="default"/>
      </w:rPr>
    </w:lvl>
    <w:lvl w:ilvl="1" w:tplc="1C5C50AA">
      <w:start w:val="1"/>
      <w:numFmt w:val="bullet"/>
      <w:lvlText w:val="o"/>
      <w:lvlJc w:val="left"/>
      <w:pPr>
        <w:ind w:left="1440" w:hanging="360"/>
      </w:pPr>
      <w:rPr>
        <w:rFonts w:ascii="Courier New" w:hAnsi="Courier New" w:hint="default"/>
      </w:rPr>
    </w:lvl>
    <w:lvl w:ilvl="2" w:tplc="12827E36">
      <w:start w:val="1"/>
      <w:numFmt w:val="bullet"/>
      <w:lvlText w:val=""/>
      <w:lvlJc w:val="left"/>
      <w:pPr>
        <w:ind w:left="2160" w:hanging="360"/>
      </w:pPr>
      <w:rPr>
        <w:rFonts w:ascii="Wingdings" w:hAnsi="Wingdings" w:hint="default"/>
      </w:rPr>
    </w:lvl>
    <w:lvl w:ilvl="3" w:tplc="5AF85FFE">
      <w:start w:val="1"/>
      <w:numFmt w:val="bullet"/>
      <w:lvlText w:val=""/>
      <w:lvlJc w:val="left"/>
      <w:pPr>
        <w:ind w:left="2880" w:hanging="360"/>
      </w:pPr>
      <w:rPr>
        <w:rFonts w:ascii="Symbol" w:hAnsi="Symbol" w:hint="default"/>
      </w:rPr>
    </w:lvl>
    <w:lvl w:ilvl="4" w:tplc="FC0A8F58">
      <w:start w:val="1"/>
      <w:numFmt w:val="bullet"/>
      <w:lvlText w:val="o"/>
      <w:lvlJc w:val="left"/>
      <w:pPr>
        <w:ind w:left="3600" w:hanging="360"/>
      </w:pPr>
      <w:rPr>
        <w:rFonts w:ascii="Courier New" w:hAnsi="Courier New" w:hint="default"/>
      </w:rPr>
    </w:lvl>
    <w:lvl w:ilvl="5" w:tplc="C56AEDC2">
      <w:start w:val="1"/>
      <w:numFmt w:val="bullet"/>
      <w:lvlText w:val=""/>
      <w:lvlJc w:val="left"/>
      <w:pPr>
        <w:ind w:left="4320" w:hanging="360"/>
      </w:pPr>
      <w:rPr>
        <w:rFonts w:ascii="Wingdings" w:hAnsi="Wingdings" w:hint="default"/>
      </w:rPr>
    </w:lvl>
    <w:lvl w:ilvl="6" w:tplc="BFAE2072">
      <w:start w:val="1"/>
      <w:numFmt w:val="bullet"/>
      <w:lvlText w:val=""/>
      <w:lvlJc w:val="left"/>
      <w:pPr>
        <w:ind w:left="5040" w:hanging="360"/>
      </w:pPr>
      <w:rPr>
        <w:rFonts w:ascii="Symbol" w:hAnsi="Symbol" w:hint="default"/>
      </w:rPr>
    </w:lvl>
    <w:lvl w:ilvl="7" w:tplc="0936BAF2">
      <w:start w:val="1"/>
      <w:numFmt w:val="bullet"/>
      <w:lvlText w:val="o"/>
      <w:lvlJc w:val="left"/>
      <w:pPr>
        <w:ind w:left="5760" w:hanging="360"/>
      </w:pPr>
      <w:rPr>
        <w:rFonts w:ascii="Courier New" w:hAnsi="Courier New" w:hint="default"/>
      </w:rPr>
    </w:lvl>
    <w:lvl w:ilvl="8" w:tplc="71A2F76C">
      <w:start w:val="1"/>
      <w:numFmt w:val="bullet"/>
      <w:lvlText w:val=""/>
      <w:lvlJc w:val="left"/>
      <w:pPr>
        <w:ind w:left="6480" w:hanging="360"/>
      </w:pPr>
      <w:rPr>
        <w:rFonts w:ascii="Wingdings" w:hAnsi="Wingdings" w:hint="default"/>
      </w:rPr>
    </w:lvl>
  </w:abstractNum>
  <w:abstractNum w:abstractNumId="29" w15:restartNumberingAfterBreak="0">
    <w:nsid w:val="65A8B4C0"/>
    <w:multiLevelType w:val="hybridMultilevel"/>
    <w:tmpl w:val="08D41978"/>
    <w:lvl w:ilvl="0" w:tplc="5F8631E2">
      <w:start w:val="1"/>
      <w:numFmt w:val="bullet"/>
      <w:lvlText w:val=""/>
      <w:lvlJc w:val="left"/>
      <w:pPr>
        <w:ind w:left="720" w:hanging="360"/>
      </w:pPr>
      <w:rPr>
        <w:rFonts w:ascii="Symbol" w:hAnsi="Symbol" w:hint="default"/>
      </w:rPr>
    </w:lvl>
    <w:lvl w:ilvl="1" w:tplc="1C7E852A">
      <w:start w:val="1"/>
      <w:numFmt w:val="bullet"/>
      <w:lvlText w:val="o"/>
      <w:lvlJc w:val="left"/>
      <w:pPr>
        <w:ind w:left="1440" w:hanging="360"/>
      </w:pPr>
      <w:rPr>
        <w:rFonts w:ascii="Courier New" w:hAnsi="Courier New" w:hint="default"/>
      </w:rPr>
    </w:lvl>
    <w:lvl w:ilvl="2" w:tplc="1A86D75E">
      <w:start w:val="1"/>
      <w:numFmt w:val="bullet"/>
      <w:lvlText w:val=""/>
      <w:lvlJc w:val="left"/>
      <w:pPr>
        <w:ind w:left="2160" w:hanging="360"/>
      </w:pPr>
      <w:rPr>
        <w:rFonts w:ascii="Wingdings" w:hAnsi="Wingdings" w:hint="default"/>
      </w:rPr>
    </w:lvl>
    <w:lvl w:ilvl="3" w:tplc="BD3E9270">
      <w:start w:val="1"/>
      <w:numFmt w:val="bullet"/>
      <w:lvlText w:val=""/>
      <w:lvlJc w:val="left"/>
      <w:pPr>
        <w:ind w:left="2880" w:hanging="360"/>
      </w:pPr>
      <w:rPr>
        <w:rFonts w:ascii="Symbol" w:hAnsi="Symbol" w:hint="default"/>
      </w:rPr>
    </w:lvl>
    <w:lvl w:ilvl="4" w:tplc="5D249EA4">
      <w:start w:val="1"/>
      <w:numFmt w:val="bullet"/>
      <w:lvlText w:val="o"/>
      <w:lvlJc w:val="left"/>
      <w:pPr>
        <w:ind w:left="3600" w:hanging="360"/>
      </w:pPr>
      <w:rPr>
        <w:rFonts w:ascii="Courier New" w:hAnsi="Courier New" w:hint="default"/>
      </w:rPr>
    </w:lvl>
    <w:lvl w:ilvl="5" w:tplc="9756605C">
      <w:start w:val="1"/>
      <w:numFmt w:val="bullet"/>
      <w:lvlText w:val=""/>
      <w:lvlJc w:val="left"/>
      <w:pPr>
        <w:ind w:left="4320" w:hanging="360"/>
      </w:pPr>
      <w:rPr>
        <w:rFonts w:ascii="Wingdings" w:hAnsi="Wingdings" w:hint="default"/>
      </w:rPr>
    </w:lvl>
    <w:lvl w:ilvl="6" w:tplc="303CD884">
      <w:start w:val="1"/>
      <w:numFmt w:val="bullet"/>
      <w:lvlText w:val=""/>
      <w:lvlJc w:val="left"/>
      <w:pPr>
        <w:ind w:left="5040" w:hanging="360"/>
      </w:pPr>
      <w:rPr>
        <w:rFonts w:ascii="Symbol" w:hAnsi="Symbol" w:hint="default"/>
      </w:rPr>
    </w:lvl>
    <w:lvl w:ilvl="7" w:tplc="D984235E">
      <w:start w:val="1"/>
      <w:numFmt w:val="bullet"/>
      <w:lvlText w:val="o"/>
      <w:lvlJc w:val="left"/>
      <w:pPr>
        <w:ind w:left="5760" w:hanging="360"/>
      </w:pPr>
      <w:rPr>
        <w:rFonts w:ascii="Courier New" w:hAnsi="Courier New" w:hint="default"/>
      </w:rPr>
    </w:lvl>
    <w:lvl w:ilvl="8" w:tplc="52A274A2">
      <w:start w:val="1"/>
      <w:numFmt w:val="bullet"/>
      <w:lvlText w:val=""/>
      <w:lvlJc w:val="left"/>
      <w:pPr>
        <w:ind w:left="6480" w:hanging="360"/>
      </w:pPr>
      <w:rPr>
        <w:rFonts w:ascii="Wingdings" w:hAnsi="Wingdings" w:hint="default"/>
      </w:rPr>
    </w:lvl>
  </w:abstractNum>
  <w:abstractNum w:abstractNumId="30"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5C3357"/>
    <w:multiLevelType w:val="hybridMultilevel"/>
    <w:tmpl w:val="E3CCC0A0"/>
    <w:lvl w:ilvl="0" w:tplc="39F8460E">
      <w:start w:val="1"/>
      <w:numFmt w:val="bullet"/>
      <w:lvlText w:val=""/>
      <w:lvlJc w:val="left"/>
      <w:pPr>
        <w:ind w:left="720" w:hanging="360"/>
      </w:pPr>
      <w:rPr>
        <w:rFonts w:ascii="Symbol" w:hAnsi="Symbol" w:hint="default"/>
      </w:rPr>
    </w:lvl>
    <w:lvl w:ilvl="1" w:tplc="FDECE8C2">
      <w:start w:val="1"/>
      <w:numFmt w:val="bullet"/>
      <w:lvlText w:val="o"/>
      <w:lvlJc w:val="left"/>
      <w:pPr>
        <w:ind w:left="1440" w:hanging="360"/>
      </w:pPr>
      <w:rPr>
        <w:rFonts w:ascii="Courier New" w:hAnsi="Courier New" w:hint="default"/>
      </w:rPr>
    </w:lvl>
    <w:lvl w:ilvl="2" w:tplc="F734448A">
      <w:start w:val="1"/>
      <w:numFmt w:val="bullet"/>
      <w:lvlText w:val=""/>
      <w:lvlJc w:val="left"/>
      <w:pPr>
        <w:ind w:left="2160" w:hanging="360"/>
      </w:pPr>
      <w:rPr>
        <w:rFonts w:ascii="Wingdings" w:hAnsi="Wingdings" w:hint="default"/>
      </w:rPr>
    </w:lvl>
    <w:lvl w:ilvl="3" w:tplc="B4629900">
      <w:start w:val="1"/>
      <w:numFmt w:val="bullet"/>
      <w:lvlText w:val=""/>
      <w:lvlJc w:val="left"/>
      <w:pPr>
        <w:ind w:left="2880" w:hanging="360"/>
      </w:pPr>
      <w:rPr>
        <w:rFonts w:ascii="Symbol" w:hAnsi="Symbol" w:hint="default"/>
      </w:rPr>
    </w:lvl>
    <w:lvl w:ilvl="4" w:tplc="43604A7A">
      <w:start w:val="1"/>
      <w:numFmt w:val="bullet"/>
      <w:lvlText w:val="o"/>
      <w:lvlJc w:val="left"/>
      <w:pPr>
        <w:ind w:left="3600" w:hanging="360"/>
      </w:pPr>
      <w:rPr>
        <w:rFonts w:ascii="Courier New" w:hAnsi="Courier New" w:hint="default"/>
      </w:rPr>
    </w:lvl>
    <w:lvl w:ilvl="5" w:tplc="B7085F80">
      <w:start w:val="1"/>
      <w:numFmt w:val="bullet"/>
      <w:lvlText w:val=""/>
      <w:lvlJc w:val="left"/>
      <w:pPr>
        <w:ind w:left="4320" w:hanging="360"/>
      </w:pPr>
      <w:rPr>
        <w:rFonts w:ascii="Wingdings" w:hAnsi="Wingdings" w:hint="default"/>
      </w:rPr>
    </w:lvl>
    <w:lvl w:ilvl="6" w:tplc="0A2EEED4">
      <w:start w:val="1"/>
      <w:numFmt w:val="bullet"/>
      <w:lvlText w:val=""/>
      <w:lvlJc w:val="left"/>
      <w:pPr>
        <w:ind w:left="5040" w:hanging="360"/>
      </w:pPr>
      <w:rPr>
        <w:rFonts w:ascii="Symbol" w:hAnsi="Symbol" w:hint="default"/>
      </w:rPr>
    </w:lvl>
    <w:lvl w:ilvl="7" w:tplc="BC7A3B3C">
      <w:start w:val="1"/>
      <w:numFmt w:val="bullet"/>
      <w:lvlText w:val="o"/>
      <w:lvlJc w:val="left"/>
      <w:pPr>
        <w:ind w:left="5760" w:hanging="360"/>
      </w:pPr>
      <w:rPr>
        <w:rFonts w:ascii="Courier New" w:hAnsi="Courier New" w:hint="default"/>
      </w:rPr>
    </w:lvl>
    <w:lvl w:ilvl="8" w:tplc="D2CEB822">
      <w:start w:val="1"/>
      <w:numFmt w:val="bullet"/>
      <w:lvlText w:val=""/>
      <w:lvlJc w:val="left"/>
      <w:pPr>
        <w:ind w:left="6480" w:hanging="360"/>
      </w:pPr>
      <w:rPr>
        <w:rFonts w:ascii="Wingdings" w:hAnsi="Wingdings" w:hint="default"/>
      </w:rPr>
    </w:lvl>
  </w:abstractNum>
  <w:abstractNum w:abstractNumId="32"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13C9FC"/>
    <w:multiLevelType w:val="hybridMultilevel"/>
    <w:tmpl w:val="1E0C2986"/>
    <w:lvl w:ilvl="0" w:tplc="3E5A5B04">
      <w:start w:val="1"/>
      <w:numFmt w:val="bullet"/>
      <w:lvlText w:val=""/>
      <w:lvlJc w:val="left"/>
      <w:pPr>
        <w:ind w:left="720" w:hanging="360"/>
      </w:pPr>
      <w:rPr>
        <w:rFonts w:ascii="Symbol" w:hAnsi="Symbol" w:hint="default"/>
      </w:rPr>
    </w:lvl>
    <w:lvl w:ilvl="1" w:tplc="1714B554">
      <w:start w:val="1"/>
      <w:numFmt w:val="bullet"/>
      <w:lvlText w:val="o"/>
      <w:lvlJc w:val="left"/>
      <w:pPr>
        <w:ind w:left="1440" w:hanging="360"/>
      </w:pPr>
      <w:rPr>
        <w:rFonts w:ascii="Courier New" w:hAnsi="Courier New" w:hint="default"/>
      </w:rPr>
    </w:lvl>
    <w:lvl w:ilvl="2" w:tplc="CD4EBF0A">
      <w:start w:val="1"/>
      <w:numFmt w:val="bullet"/>
      <w:lvlText w:val=""/>
      <w:lvlJc w:val="left"/>
      <w:pPr>
        <w:ind w:left="2160" w:hanging="360"/>
      </w:pPr>
      <w:rPr>
        <w:rFonts w:ascii="Wingdings" w:hAnsi="Wingdings" w:hint="default"/>
      </w:rPr>
    </w:lvl>
    <w:lvl w:ilvl="3" w:tplc="8D98A7CE">
      <w:start w:val="1"/>
      <w:numFmt w:val="bullet"/>
      <w:lvlText w:val=""/>
      <w:lvlJc w:val="left"/>
      <w:pPr>
        <w:ind w:left="2880" w:hanging="360"/>
      </w:pPr>
      <w:rPr>
        <w:rFonts w:ascii="Symbol" w:hAnsi="Symbol" w:hint="default"/>
      </w:rPr>
    </w:lvl>
    <w:lvl w:ilvl="4" w:tplc="F93C305E">
      <w:start w:val="1"/>
      <w:numFmt w:val="bullet"/>
      <w:lvlText w:val="o"/>
      <w:lvlJc w:val="left"/>
      <w:pPr>
        <w:ind w:left="3600" w:hanging="360"/>
      </w:pPr>
      <w:rPr>
        <w:rFonts w:ascii="Courier New" w:hAnsi="Courier New" w:hint="default"/>
      </w:rPr>
    </w:lvl>
    <w:lvl w:ilvl="5" w:tplc="08420D2A">
      <w:start w:val="1"/>
      <w:numFmt w:val="bullet"/>
      <w:lvlText w:val=""/>
      <w:lvlJc w:val="left"/>
      <w:pPr>
        <w:ind w:left="4320" w:hanging="360"/>
      </w:pPr>
      <w:rPr>
        <w:rFonts w:ascii="Wingdings" w:hAnsi="Wingdings" w:hint="default"/>
      </w:rPr>
    </w:lvl>
    <w:lvl w:ilvl="6" w:tplc="6C9AF2FE">
      <w:start w:val="1"/>
      <w:numFmt w:val="bullet"/>
      <w:lvlText w:val=""/>
      <w:lvlJc w:val="left"/>
      <w:pPr>
        <w:ind w:left="5040" w:hanging="360"/>
      </w:pPr>
      <w:rPr>
        <w:rFonts w:ascii="Symbol" w:hAnsi="Symbol" w:hint="default"/>
      </w:rPr>
    </w:lvl>
    <w:lvl w:ilvl="7" w:tplc="A638284A">
      <w:start w:val="1"/>
      <w:numFmt w:val="bullet"/>
      <w:lvlText w:val="o"/>
      <w:lvlJc w:val="left"/>
      <w:pPr>
        <w:ind w:left="5760" w:hanging="360"/>
      </w:pPr>
      <w:rPr>
        <w:rFonts w:ascii="Courier New" w:hAnsi="Courier New" w:hint="default"/>
      </w:rPr>
    </w:lvl>
    <w:lvl w:ilvl="8" w:tplc="E932E538">
      <w:start w:val="1"/>
      <w:numFmt w:val="bullet"/>
      <w:lvlText w:val=""/>
      <w:lvlJc w:val="left"/>
      <w:pPr>
        <w:ind w:left="6480" w:hanging="360"/>
      </w:pPr>
      <w:rPr>
        <w:rFonts w:ascii="Wingdings" w:hAnsi="Wingdings" w:hint="default"/>
      </w:rPr>
    </w:lvl>
  </w:abstractNum>
  <w:abstractNum w:abstractNumId="3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449541950">
    <w:abstractNumId w:val="31"/>
  </w:num>
  <w:num w:numId="2" w16cid:durableId="565457632">
    <w:abstractNumId w:val="34"/>
  </w:num>
  <w:num w:numId="3" w16cid:durableId="1163357980">
    <w:abstractNumId w:val="29"/>
  </w:num>
  <w:num w:numId="4" w16cid:durableId="149948044">
    <w:abstractNumId w:val="22"/>
  </w:num>
  <w:num w:numId="5" w16cid:durableId="608394408">
    <w:abstractNumId w:val="28"/>
  </w:num>
  <w:num w:numId="6" w16cid:durableId="2114395632">
    <w:abstractNumId w:val="9"/>
  </w:num>
  <w:num w:numId="7" w16cid:durableId="1421410568">
    <w:abstractNumId w:val="4"/>
  </w:num>
  <w:num w:numId="8" w16cid:durableId="2115054978">
    <w:abstractNumId w:val="18"/>
  </w:num>
  <w:num w:numId="9" w16cid:durableId="1233352261">
    <w:abstractNumId w:val="35"/>
  </w:num>
  <w:num w:numId="10" w16cid:durableId="1498153067">
    <w:abstractNumId w:val="33"/>
  </w:num>
  <w:num w:numId="11" w16cid:durableId="1864858693">
    <w:abstractNumId w:val="20"/>
  </w:num>
  <w:num w:numId="12" w16cid:durableId="1257593104">
    <w:abstractNumId w:val="5"/>
  </w:num>
  <w:num w:numId="13" w16cid:durableId="1740906995">
    <w:abstractNumId w:val="23"/>
  </w:num>
  <w:num w:numId="14" w16cid:durableId="1142964855">
    <w:abstractNumId w:val="24"/>
  </w:num>
  <w:num w:numId="15" w16cid:durableId="1783718424">
    <w:abstractNumId w:val="12"/>
  </w:num>
  <w:num w:numId="16" w16cid:durableId="1961525059">
    <w:abstractNumId w:val="6"/>
  </w:num>
  <w:num w:numId="17" w16cid:durableId="1588004861">
    <w:abstractNumId w:val="14"/>
  </w:num>
  <w:num w:numId="18" w16cid:durableId="1802116982">
    <w:abstractNumId w:val="1"/>
  </w:num>
  <w:num w:numId="19" w16cid:durableId="1697266660">
    <w:abstractNumId w:val="7"/>
  </w:num>
  <w:num w:numId="20" w16cid:durableId="1812675381">
    <w:abstractNumId w:val="25"/>
  </w:num>
  <w:num w:numId="21" w16cid:durableId="1231500762">
    <w:abstractNumId w:val="8"/>
  </w:num>
  <w:num w:numId="22" w16cid:durableId="1329283788">
    <w:abstractNumId w:val="19"/>
  </w:num>
  <w:num w:numId="23" w16cid:durableId="1436631320">
    <w:abstractNumId w:val="3"/>
  </w:num>
  <w:num w:numId="24" w16cid:durableId="24256471">
    <w:abstractNumId w:val="32"/>
  </w:num>
  <w:num w:numId="25" w16cid:durableId="49616346">
    <w:abstractNumId w:val="13"/>
  </w:num>
  <w:num w:numId="26" w16cid:durableId="2072649859">
    <w:abstractNumId w:val="17"/>
  </w:num>
  <w:num w:numId="27" w16cid:durableId="84036576">
    <w:abstractNumId w:val="16"/>
  </w:num>
  <w:num w:numId="28" w16cid:durableId="1074283147">
    <w:abstractNumId w:val="2"/>
  </w:num>
  <w:num w:numId="29" w16cid:durableId="1205562755">
    <w:abstractNumId w:val="11"/>
  </w:num>
  <w:num w:numId="30" w16cid:durableId="1870099735">
    <w:abstractNumId w:val="21"/>
  </w:num>
  <w:num w:numId="31" w16cid:durableId="91585365">
    <w:abstractNumId w:val="15"/>
  </w:num>
  <w:num w:numId="32" w16cid:durableId="476261141">
    <w:abstractNumId w:val="27"/>
  </w:num>
  <w:num w:numId="33" w16cid:durableId="2017152041">
    <w:abstractNumId w:val="30"/>
  </w:num>
  <w:num w:numId="34" w16cid:durableId="437915329">
    <w:abstractNumId w:val="0"/>
  </w:num>
  <w:num w:numId="35" w16cid:durableId="534387910">
    <w:abstractNumId w:val="10"/>
  </w:num>
  <w:num w:numId="36" w16cid:durableId="772630319">
    <w:abstractNumId w:val="26"/>
  </w:num>
  <w:num w:numId="37" w16cid:durableId="5915474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BC3"/>
    <w:rsid w:val="00017BB8"/>
    <w:rsid w:val="00020E24"/>
    <w:rsid w:val="00022608"/>
    <w:rsid w:val="0002469E"/>
    <w:rsid w:val="00027E5D"/>
    <w:rsid w:val="000324F2"/>
    <w:rsid w:val="00032705"/>
    <w:rsid w:val="00045115"/>
    <w:rsid w:val="00046F3D"/>
    <w:rsid w:val="000503E4"/>
    <w:rsid w:val="00050BF5"/>
    <w:rsid w:val="000515FD"/>
    <w:rsid w:val="00051A18"/>
    <w:rsid w:val="00066C99"/>
    <w:rsid w:val="000704E7"/>
    <w:rsid w:val="0007194F"/>
    <w:rsid w:val="00072A45"/>
    <w:rsid w:val="00080550"/>
    <w:rsid w:val="000858E1"/>
    <w:rsid w:val="000A0D2D"/>
    <w:rsid w:val="000A6221"/>
    <w:rsid w:val="000B1F3C"/>
    <w:rsid w:val="000B2FD9"/>
    <w:rsid w:val="000B5163"/>
    <w:rsid w:val="000C693C"/>
    <w:rsid w:val="000D0B9C"/>
    <w:rsid w:val="000D0DD2"/>
    <w:rsid w:val="000D3769"/>
    <w:rsid w:val="000D42B6"/>
    <w:rsid w:val="000E0221"/>
    <w:rsid w:val="000E0852"/>
    <w:rsid w:val="000E355A"/>
    <w:rsid w:val="000E7274"/>
    <w:rsid w:val="000F492E"/>
    <w:rsid w:val="000F4DF2"/>
    <w:rsid w:val="000F6E23"/>
    <w:rsid w:val="000F772F"/>
    <w:rsid w:val="0010262F"/>
    <w:rsid w:val="0010633F"/>
    <w:rsid w:val="0011641B"/>
    <w:rsid w:val="00117981"/>
    <w:rsid w:val="00117A48"/>
    <w:rsid w:val="001203E0"/>
    <w:rsid w:val="0013632F"/>
    <w:rsid w:val="00145861"/>
    <w:rsid w:val="00145F3E"/>
    <w:rsid w:val="00147D1C"/>
    <w:rsid w:val="00147D57"/>
    <w:rsid w:val="00153C0C"/>
    <w:rsid w:val="00157DDA"/>
    <w:rsid w:val="0016053A"/>
    <w:rsid w:val="00160AE4"/>
    <w:rsid w:val="00160F2E"/>
    <w:rsid w:val="00167266"/>
    <w:rsid w:val="0016740B"/>
    <w:rsid w:val="0016753E"/>
    <w:rsid w:val="00175377"/>
    <w:rsid w:val="00177E62"/>
    <w:rsid w:val="00184CF9"/>
    <w:rsid w:val="001873CD"/>
    <w:rsid w:val="001909DA"/>
    <w:rsid w:val="00191A47"/>
    <w:rsid w:val="00196868"/>
    <w:rsid w:val="001A6FE6"/>
    <w:rsid w:val="001B1487"/>
    <w:rsid w:val="001B69FB"/>
    <w:rsid w:val="001C0266"/>
    <w:rsid w:val="001C1528"/>
    <w:rsid w:val="001C3882"/>
    <w:rsid w:val="001D4906"/>
    <w:rsid w:val="001F071C"/>
    <w:rsid w:val="001F1337"/>
    <w:rsid w:val="001F62C7"/>
    <w:rsid w:val="00204002"/>
    <w:rsid w:val="00204928"/>
    <w:rsid w:val="00205539"/>
    <w:rsid w:val="00205A3B"/>
    <w:rsid w:val="00221D0E"/>
    <w:rsid w:val="00222AE0"/>
    <w:rsid w:val="00223B75"/>
    <w:rsid w:val="0022428B"/>
    <w:rsid w:val="0022472B"/>
    <w:rsid w:val="002268A6"/>
    <w:rsid w:val="0024011F"/>
    <w:rsid w:val="00243731"/>
    <w:rsid w:val="00245F1C"/>
    <w:rsid w:val="00255DAD"/>
    <w:rsid w:val="00256C52"/>
    <w:rsid w:val="002645B9"/>
    <w:rsid w:val="00265049"/>
    <w:rsid w:val="00270EFB"/>
    <w:rsid w:val="00271AE8"/>
    <w:rsid w:val="002742A9"/>
    <w:rsid w:val="002803CC"/>
    <w:rsid w:val="00281130"/>
    <w:rsid w:val="00286414"/>
    <w:rsid w:val="00291F09"/>
    <w:rsid w:val="002954F3"/>
    <w:rsid w:val="0029568A"/>
    <w:rsid w:val="002A0A35"/>
    <w:rsid w:val="002A1179"/>
    <w:rsid w:val="002A4918"/>
    <w:rsid w:val="002A677D"/>
    <w:rsid w:val="002A6AB5"/>
    <w:rsid w:val="002B3AE8"/>
    <w:rsid w:val="002B75EC"/>
    <w:rsid w:val="002D4671"/>
    <w:rsid w:val="002E208A"/>
    <w:rsid w:val="002E40B6"/>
    <w:rsid w:val="002E71FE"/>
    <w:rsid w:val="003024E3"/>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73A2"/>
    <w:rsid w:val="00386A2D"/>
    <w:rsid w:val="00393857"/>
    <w:rsid w:val="0039499A"/>
    <w:rsid w:val="003A451F"/>
    <w:rsid w:val="003A6AEF"/>
    <w:rsid w:val="003B4504"/>
    <w:rsid w:val="003B4811"/>
    <w:rsid w:val="003C6C06"/>
    <w:rsid w:val="003C7440"/>
    <w:rsid w:val="003D1233"/>
    <w:rsid w:val="003D5815"/>
    <w:rsid w:val="003E2FA2"/>
    <w:rsid w:val="003E66D2"/>
    <w:rsid w:val="003E6CCA"/>
    <w:rsid w:val="003F65AA"/>
    <w:rsid w:val="00403896"/>
    <w:rsid w:val="00403B73"/>
    <w:rsid w:val="004120CF"/>
    <w:rsid w:val="0041753F"/>
    <w:rsid w:val="00417581"/>
    <w:rsid w:val="00417D53"/>
    <w:rsid w:val="004216C0"/>
    <w:rsid w:val="0044126B"/>
    <w:rsid w:val="00443642"/>
    <w:rsid w:val="00443CEC"/>
    <w:rsid w:val="00444933"/>
    <w:rsid w:val="00454760"/>
    <w:rsid w:val="0045533B"/>
    <w:rsid w:val="0045539A"/>
    <w:rsid w:val="004614FA"/>
    <w:rsid w:val="00464FE4"/>
    <w:rsid w:val="00465265"/>
    <w:rsid w:val="004654D4"/>
    <w:rsid w:val="0046653F"/>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E0F63"/>
    <w:rsid w:val="004E69F3"/>
    <w:rsid w:val="004F2C29"/>
    <w:rsid w:val="004F733A"/>
    <w:rsid w:val="00504021"/>
    <w:rsid w:val="00507DA2"/>
    <w:rsid w:val="00510779"/>
    <w:rsid w:val="00512F2D"/>
    <w:rsid w:val="00514B6E"/>
    <w:rsid w:val="005254D7"/>
    <w:rsid w:val="005275A7"/>
    <w:rsid w:val="005276ED"/>
    <w:rsid w:val="00535CFF"/>
    <w:rsid w:val="0054026A"/>
    <w:rsid w:val="005425C4"/>
    <w:rsid w:val="00551A73"/>
    <w:rsid w:val="005560C6"/>
    <w:rsid w:val="00557395"/>
    <w:rsid w:val="00557BB2"/>
    <w:rsid w:val="00560CA0"/>
    <w:rsid w:val="005613B2"/>
    <w:rsid w:val="00570148"/>
    <w:rsid w:val="00571230"/>
    <w:rsid w:val="00576514"/>
    <w:rsid w:val="0058189B"/>
    <w:rsid w:val="00583F6E"/>
    <w:rsid w:val="0058602B"/>
    <w:rsid w:val="005862CB"/>
    <w:rsid w:val="00593D7E"/>
    <w:rsid w:val="00594071"/>
    <w:rsid w:val="005A5F14"/>
    <w:rsid w:val="005B47F8"/>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600415"/>
    <w:rsid w:val="00606EA0"/>
    <w:rsid w:val="0060784B"/>
    <w:rsid w:val="00611994"/>
    <w:rsid w:val="00611A10"/>
    <w:rsid w:val="0061372D"/>
    <w:rsid w:val="006141A9"/>
    <w:rsid w:val="00621EBB"/>
    <w:rsid w:val="006220C1"/>
    <w:rsid w:val="00623942"/>
    <w:rsid w:val="00623DB3"/>
    <w:rsid w:val="006249E8"/>
    <w:rsid w:val="00625322"/>
    <w:rsid w:val="00627F46"/>
    <w:rsid w:val="006317C0"/>
    <w:rsid w:val="00632AC0"/>
    <w:rsid w:val="0063316D"/>
    <w:rsid w:val="006358A7"/>
    <w:rsid w:val="0064295B"/>
    <w:rsid w:val="006430D3"/>
    <w:rsid w:val="006653E8"/>
    <w:rsid w:val="006708AE"/>
    <w:rsid w:val="00681E05"/>
    <w:rsid w:val="00694BAD"/>
    <w:rsid w:val="006977EF"/>
    <w:rsid w:val="006A15CF"/>
    <w:rsid w:val="006A6FE8"/>
    <w:rsid w:val="006B1684"/>
    <w:rsid w:val="006B6975"/>
    <w:rsid w:val="006C3DA1"/>
    <w:rsid w:val="006D2520"/>
    <w:rsid w:val="006F16C9"/>
    <w:rsid w:val="006F2634"/>
    <w:rsid w:val="006F5AF8"/>
    <w:rsid w:val="00700404"/>
    <w:rsid w:val="00712D10"/>
    <w:rsid w:val="00717EAF"/>
    <w:rsid w:val="0072547E"/>
    <w:rsid w:val="0072698E"/>
    <w:rsid w:val="00726B57"/>
    <w:rsid w:val="007349BB"/>
    <w:rsid w:val="00735627"/>
    <w:rsid w:val="00735EA4"/>
    <w:rsid w:val="00745491"/>
    <w:rsid w:val="00747DA7"/>
    <w:rsid w:val="007547A1"/>
    <w:rsid w:val="00756177"/>
    <w:rsid w:val="00763431"/>
    <w:rsid w:val="00764DD6"/>
    <w:rsid w:val="00767989"/>
    <w:rsid w:val="007723B9"/>
    <w:rsid w:val="00782F42"/>
    <w:rsid w:val="00792240"/>
    <w:rsid w:val="00794187"/>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6D49"/>
    <w:rsid w:val="00823025"/>
    <w:rsid w:val="0082570C"/>
    <w:rsid w:val="008318EE"/>
    <w:rsid w:val="00840F8E"/>
    <w:rsid w:val="008479DB"/>
    <w:rsid w:val="008506BC"/>
    <w:rsid w:val="008518F0"/>
    <w:rsid w:val="008520F6"/>
    <w:rsid w:val="0085245C"/>
    <w:rsid w:val="00861753"/>
    <w:rsid w:val="00871251"/>
    <w:rsid w:val="00871C18"/>
    <w:rsid w:val="00871C4D"/>
    <w:rsid w:val="00877DAB"/>
    <w:rsid w:val="00880F6F"/>
    <w:rsid w:val="0088139B"/>
    <w:rsid w:val="00881C0D"/>
    <w:rsid w:val="008879EC"/>
    <w:rsid w:val="00890D1C"/>
    <w:rsid w:val="00890D76"/>
    <w:rsid w:val="008960FD"/>
    <w:rsid w:val="008A0174"/>
    <w:rsid w:val="008A1D09"/>
    <w:rsid w:val="008B1666"/>
    <w:rsid w:val="008B6482"/>
    <w:rsid w:val="008C5EC0"/>
    <w:rsid w:val="008D63DC"/>
    <w:rsid w:val="008E08C3"/>
    <w:rsid w:val="008E2108"/>
    <w:rsid w:val="008E3656"/>
    <w:rsid w:val="008E3B5B"/>
    <w:rsid w:val="008F1E25"/>
    <w:rsid w:val="008F712A"/>
    <w:rsid w:val="009033A8"/>
    <w:rsid w:val="009035F1"/>
    <w:rsid w:val="00917A23"/>
    <w:rsid w:val="00917B28"/>
    <w:rsid w:val="0092130F"/>
    <w:rsid w:val="00922CE8"/>
    <w:rsid w:val="00926C3E"/>
    <w:rsid w:val="00934EEC"/>
    <w:rsid w:val="00935103"/>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6E0A"/>
    <w:rsid w:val="00996FA7"/>
    <w:rsid w:val="00997099"/>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E0617"/>
    <w:rsid w:val="009E07B1"/>
    <w:rsid w:val="009E7A90"/>
    <w:rsid w:val="00A068E1"/>
    <w:rsid w:val="00A10000"/>
    <w:rsid w:val="00A114E4"/>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4840"/>
    <w:rsid w:val="00AC6E64"/>
    <w:rsid w:val="00AD423C"/>
    <w:rsid w:val="00AD71EF"/>
    <w:rsid w:val="00AE2C3F"/>
    <w:rsid w:val="00B04880"/>
    <w:rsid w:val="00B054D1"/>
    <w:rsid w:val="00B05659"/>
    <w:rsid w:val="00B062EA"/>
    <w:rsid w:val="00B06671"/>
    <w:rsid w:val="00B12B57"/>
    <w:rsid w:val="00B16849"/>
    <w:rsid w:val="00B2609F"/>
    <w:rsid w:val="00B32541"/>
    <w:rsid w:val="00B32C21"/>
    <w:rsid w:val="00B435F3"/>
    <w:rsid w:val="00B442D5"/>
    <w:rsid w:val="00B465F8"/>
    <w:rsid w:val="00B55BD6"/>
    <w:rsid w:val="00B567AC"/>
    <w:rsid w:val="00B70661"/>
    <w:rsid w:val="00B71B1F"/>
    <w:rsid w:val="00B75311"/>
    <w:rsid w:val="00B7755E"/>
    <w:rsid w:val="00B87A8D"/>
    <w:rsid w:val="00B90D95"/>
    <w:rsid w:val="00B925E0"/>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C00C28"/>
    <w:rsid w:val="00C055CA"/>
    <w:rsid w:val="00C06282"/>
    <w:rsid w:val="00C062D6"/>
    <w:rsid w:val="00C13536"/>
    <w:rsid w:val="00C3198C"/>
    <w:rsid w:val="00C32B82"/>
    <w:rsid w:val="00C34CF7"/>
    <w:rsid w:val="00C36290"/>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923DA"/>
    <w:rsid w:val="00C97B79"/>
    <w:rsid w:val="00C97CE3"/>
    <w:rsid w:val="00CA4892"/>
    <w:rsid w:val="00CA555C"/>
    <w:rsid w:val="00CB04B6"/>
    <w:rsid w:val="00CB1A6C"/>
    <w:rsid w:val="00CC526D"/>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10C0E"/>
    <w:rsid w:val="00D11798"/>
    <w:rsid w:val="00D12A1F"/>
    <w:rsid w:val="00D30E95"/>
    <w:rsid w:val="00D478E6"/>
    <w:rsid w:val="00D5192C"/>
    <w:rsid w:val="00D5218F"/>
    <w:rsid w:val="00D53738"/>
    <w:rsid w:val="00D55DAA"/>
    <w:rsid w:val="00D578E5"/>
    <w:rsid w:val="00D57C4E"/>
    <w:rsid w:val="00D64354"/>
    <w:rsid w:val="00D90E24"/>
    <w:rsid w:val="00D91935"/>
    <w:rsid w:val="00D9277B"/>
    <w:rsid w:val="00D95F53"/>
    <w:rsid w:val="00DA50AB"/>
    <w:rsid w:val="00DC071E"/>
    <w:rsid w:val="00DC3BC5"/>
    <w:rsid w:val="00DD2500"/>
    <w:rsid w:val="00DD2BA6"/>
    <w:rsid w:val="00DD5E59"/>
    <w:rsid w:val="00DD7248"/>
    <w:rsid w:val="00DE069B"/>
    <w:rsid w:val="00DE2085"/>
    <w:rsid w:val="00DE2D4A"/>
    <w:rsid w:val="00DE6BC3"/>
    <w:rsid w:val="00DE6DA3"/>
    <w:rsid w:val="00DF04C3"/>
    <w:rsid w:val="00DF2F23"/>
    <w:rsid w:val="00DF53AC"/>
    <w:rsid w:val="00E0329C"/>
    <w:rsid w:val="00E03F66"/>
    <w:rsid w:val="00E04370"/>
    <w:rsid w:val="00E12DE3"/>
    <w:rsid w:val="00E1475E"/>
    <w:rsid w:val="00E1644D"/>
    <w:rsid w:val="00E25950"/>
    <w:rsid w:val="00E322A8"/>
    <w:rsid w:val="00E332A0"/>
    <w:rsid w:val="00E36315"/>
    <w:rsid w:val="00E4691C"/>
    <w:rsid w:val="00E51111"/>
    <w:rsid w:val="00E5595D"/>
    <w:rsid w:val="00E56CE8"/>
    <w:rsid w:val="00E60D27"/>
    <w:rsid w:val="00E66F39"/>
    <w:rsid w:val="00E7682A"/>
    <w:rsid w:val="00E86422"/>
    <w:rsid w:val="00E904DF"/>
    <w:rsid w:val="00EA00B1"/>
    <w:rsid w:val="00EA0B23"/>
    <w:rsid w:val="00EC1E58"/>
    <w:rsid w:val="00EC1FD6"/>
    <w:rsid w:val="00EC32EC"/>
    <w:rsid w:val="00EC4CF5"/>
    <w:rsid w:val="00ED7525"/>
    <w:rsid w:val="00EE124D"/>
    <w:rsid w:val="00F063C2"/>
    <w:rsid w:val="00F105AB"/>
    <w:rsid w:val="00F14C9D"/>
    <w:rsid w:val="00F16013"/>
    <w:rsid w:val="00F1737B"/>
    <w:rsid w:val="00F17384"/>
    <w:rsid w:val="00F1794B"/>
    <w:rsid w:val="00F21B4A"/>
    <w:rsid w:val="00F24739"/>
    <w:rsid w:val="00F2B3FB"/>
    <w:rsid w:val="00F33B64"/>
    <w:rsid w:val="00F36BEA"/>
    <w:rsid w:val="00F370FA"/>
    <w:rsid w:val="00F50A94"/>
    <w:rsid w:val="00F53530"/>
    <w:rsid w:val="00F56CE9"/>
    <w:rsid w:val="00F62CDD"/>
    <w:rsid w:val="00F63338"/>
    <w:rsid w:val="00F639CE"/>
    <w:rsid w:val="00F64DD8"/>
    <w:rsid w:val="00F64EE3"/>
    <w:rsid w:val="00F76A4F"/>
    <w:rsid w:val="00F8100B"/>
    <w:rsid w:val="00F81AB0"/>
    <w:rsid w:val="00F83440"/>
    <w:rsid w:val="00F83734"/>
    <w:rsid w:val="00F850D3"/>
    <w:rsid w:val="00FA0DDA"/>
    <w:rsid w:val="00FA2BE1"/>
    <w:rsid w:val="00FA5553"/>
    <w:rsid w:val="00FB441B"/>
    <w:rsid w:val="00FB52E4"/>
    <w:rsid w:val="00FB58D0"/>
    <w:rsid w:val="00FD3173"/>
    <w:rsid w:val="00FD634C"/>
    <w:rsid w:val="00FD67CB"/>
    <w:rsid w:val="00FE05B2"/>
    <w:rsid w:val="00FE4BC7"/>
    <w:rsid w:val="00FF2666"/>
    <w:rsid w:val="00FF5C64"/>
    <w:rsid w:val="00FF6147"/>
    <w:rsid w:val="01EDA445"/>
    <w:rsid w:val="0217B2FA"/>
    <w:rsid w:val="04226737"/>
    <w:rsid w:val="0517F7BB"/>
    <w:rsid w:val="0937908B"/>
    <w:rsid w:val="0D048C91"/>
    <w:rsid w:val="0EF1A6EF"/>
    <w:rsid w:val="0FE6491B"/>
    <w:rsid w:val="10DA2D6D"/>
    <w:rsid w:val="111BF303"/>
    <w:rsid w:val="11338C8D"/>
    <w:rsid w:val="11BB100D"/>
    <w:rsid w:val="137F42BC"/>
    <w:rsid w:val="13950187"/>
    <w:rsid w:val="13ADEF8D"/>
    <w:rsid w:val="14407887"/>
    <w:rsid w:val="14CE483A"/>
    <w:rsid w:val="15D467E5"/>
    <w:rsid w:val="1745BD88"/>
    <w:rsid w:val="195CF1EB"/>
    <w:rsid w:val="1A340847"/>
    <w:rsid w:val="1B3C9D92"/>
    <w:rsid w:val="1C4B8A6C"/>
    <w:rsid w:val="1E21F1BA"/>
    <w:rsid w:val="1E97EAC2"/>
    <w:rsid w:val="1EC1F563"/>
    <w:rsid w:val="205DC5C4"/>
    <w:rsid w:val="20C07987"/>
    <w:rsid w:val="21F804F3"/>
    <w:rsid w:val="2258931A"/>
    <w:rsid w:val="26B3DEEB"/>
    <w:rsid w:val="2782891A"/>
    <w:rsid w:val="27BC689C"/>
    <w:rsid w:val="284FAF4C"/>
    <w:rsid w:val="2970C136"/>
    <w:rsid w:val="29DFB182"/>
    <w:rsid w:val="2CBB8E25"/>
    <w:rsid w:val="2DA5A73C"/>
    <w:rsid w:val="2E16E362"/>
    <w:rsid w:val="305AC131"/>
    <w:rsid w:val="3062AEB7"/>
    <w:rsid w:val="31F69192"/>
    <w:rsid w:val="31FE7F18"/>
    <w:rsid w:val="32AB692B"/>
    <w:rsid w:val="32FC7D83"/>
    <w:rsid w:val="334D97E6"/>
    <w:rsid w:val="33AB8A50"/>
    <w:rsid w:val="34264931"/>
    <w:rsid w:val="34428EEE"/>
    <w:rsid w:val="352E3254"/>
    <w:rsid w:val="36CA02B5"/>
    <w:rsid w:val="3736F7FC"/>
    <w:rsid w:val="37B881BF"/>
    <w:rsid w:val="37DFF573"/>
    <w:rsid w:val="3961838F"/>
    <w:rsid w:val="39B8C666"/>
    <w:rsid w:val="3A24F330"/>
    <w:rsid w:val="3C194984"/>
    <w:rsid w:val="3C80DED4"/>
    <w:rsid w:val="3DD02F92"/>
    <w:rsid w:val="3E6CF2FA"/>
    <w:rsid w:val="3FCABECB"/>
    <w:rsid w:val="40E9FCA4"/>
    <w:rsid w:val="4154B5BF"/>
    <w:rsid w:val="43B07343"/>
    <w:rsid w:val="44195F09"/>
    <w:rsid w:val="457AF30A"/>
    <w:rsid w:val="46604EA5"/>
    <w:rsid w:val="46E99FCF"/>
    <w:rsid w:val="47028A7B"/>
    <w:rsid w:val="49C5CA9A"/>
    <w:rsid w:val="4A0E79F0"/>
    <w:rsid w:val="4B9B1900"/>
    <w:rsid w:val="4BFBF4D0"/>
    <w:rsid w:val="4D437486"/>
    <w:rsid w:val="4FCDC080"/>
    <w:rsid w:val="5000B2DF"/>
    <w:rsid w:val="53AA0AEA"/>
    <w:rsid w:val="543DF104"/>
    <w:rsid w:val="5566155D"/>
    <w:rsid w:val="5572EE67"/>
    <w:rsid w:val="564D6BC0"/>
    <w:rsid w:val="56D6398F"/>
    <w:rsid w:val="5767D246"/>
    <w:rsid w:val="5B001B30"/>
    <w:rsid w:val="5B2981C0"/>
    <w:rsid w:val="5CC6D6EB"/>
    <w:rsid w:val="5CF424A2"/>
    <w:rsid w:val="5E1E3AA5"/>
    <w:rsid w:val="5E88A6A8"/>
    <w:rsid w:val="5EF8DA66"/>
    <w:rsid w:val="5F1F5A74"/>
    <w:rsid w:val="6095ADAA"/>
    <w:rsid w:val="60B4E4D9"/>
    <w:rsid w:val="617FB4AB"/>
    <w:rsid w:val="618E0E46"/>
    <w:rsid w:val="61D08B00"/>
    <w:rsid w:val="62334225"/>
    <w:rsid w:val="62E386F6"/>
    <w:rsid w:val="66BF3310"/>
    <w:rsid w:val="67EEF62F"/>
    <w:rsid w:val="698AC690"/>
    <w:rsid w:val="6A656126"/>
    <w:rsid w:val="6AEE99D9"/>
    <w:rsid w:val="6C5669B2"/>
    <w:rsid w:val="6FFA0814"/>
    <w:rsid w:val="740C436C"/>
    <w:rsid w:val="741430F2"/>
    <w:rsid w:val="741E223E"/>
    <w:rsid w:val="74735650"/>
    <w:rsid w:val="752E4A22"/>
    <w:rsid w:val="75B00153"/>
    <w:rsid w:val="76A3E421"/>
    <w:rsid w:val="770880B1"/>
    <w:rsid w:val="786F0485"/>
    <w:rsid w:val="7D26DF74"/>
    <w:rsid w:val="7D6E4855"/>
    <w:rsid w:val="7FA66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ukri.sharepoint.com/sites/thesource/SitePages/EDI-across-UKRI.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SSVJ533UJCM2-2088875932-20808</_dlc_DocId>
    <_dlc_DocIdUrl xmlns="36ebd4db-6f78-4d9b-a8bd-dda683c55855">
      <Url>https://ukri.sharepoint.com/sites/og_SP-Grants/_layouts/15/DocIdRedir.aspx?ID=SSVJ533UJCM2-2088875932-20808</Url>
      <Description>SSVJ533UJCM2-2088875932-20808</Description>
    </_dlc_DocIdUrl>
  </documentManagement>
</p:properties>
</file>

<file path=customXml/item3.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99373-E780-4DF5-9718-F15C7CF5C122}">
  <ds:schemaRefs>
    <ds:schemaRef ds:uri="http://schemas.microsoft.com/sharepoint/events"/>
  </ds:schemaRefs>
</ds:datastoreItem>
</file>

<file path=customXml/itemProps2.xml><?xml version="1.0" encoding="utf-8"?>
<ds:datastoreItem xmlns:ds="http://schemas.openxmlformats.org/officeDocument/2006/customXml" ds:itemID="{1E0E25C5-BD44-4E2A-939E-DD4DE970574E}">
  <ds:schemaRefs>
    <ds:schemaRef ds:uri="http://schemas.microsoft.com/office/2006/documentManagement/types"/>
    <ds:schemaRef ds:uri="http://purl.org/dc/terms/"/>
    <ds:schemaRef ds:uri="2e24dfb7-a69e-40eb-b94f-44b9ca9c25ed"/>
    <ds:schemaRef ds:uri="http://schemas.openxmlformats.org/package/2006/metadata/core-properties"/>
    <ds:schemaRef ds:uri="http://schemas.microsoft.com/office/2006/metadata/properties"/>
    <ds:schemaRef ds:uri="36ebd4db-6f78-4d9b-a8bd-dda683c55855"/>
    <ds:schemaRef ds:uri="http://schemas.microsoft.com/office/infopath/2007/PartnerControls"/>
    <ds:schemaRef ds:uri="http://purl.org/dc/dcmitype/"/>
    <ds:schemaRef ds:uri="http://www.w3.org/XML/1998/namespace"/>
    <ds:schemaRef ds:uri="4069d3dd-aad9-4e38-b1c0-16c2c423882e"/>
    <ds:schemaRef ds:uri="http://purl.org/dc/elements/1.1/"/>
  </ds:schemaRefs>
</ds:datastoreItem>
</file>

<file path=customXml/itemProps3.xml><?xml version="1.0" encoding="utf-8"?>
<ds:datastoreItem xmlns:ds="http://schemas.openxmlformats.org/officeDocument/2006/customXml" ds:itemID="{39CAD6CD-4B9E-4396-A5B7-BA7965ECAE76}">
  <ds:schemaRefs>
    <ds:schemaRef ds:uri="http://www.imanage.com/work/xmlschema"/>
  </ds:schemaRefs>
</ds:datastoreItem>
</file>

<file path=customXml/itemProps4.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6.xml><?xml version="1.0" encoding="utf-8"?>
<ds:datastoreItem xmlns:ds="http://schemas.openxmlformats.org/officeDocument/2006/customXml" ds:itemID="{129ED880-09EF-420C-AD49-970B37DC6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Anne Nichol - UKRI</cp:lastModifiedBy>
  <cp:revision>2</cp:revision>
  <dcterms:created xsi:type="dcterms:W3CDTF">2024-06-05T13:07:00Z</dcterms:created>
  <dcterms:modified xsi:type="dcterms:W3CDTF">2024-06-05T13:07:00Z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7ab6f373-95a8-496a-b731-a6a4f235d260</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