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2"/>
          <w:headerReference w:type="default" r:id="rId13"/>
          <w:footerReference w:type="even" r:id="rId14"/>
          <w:footerReference w:type="default" r:id="rId15"/>
          <w:headerReference w:type="first" r:id="rId16"/>
          <w:footerReference w:type="first" r:id="rId17"/>
          <w:pgSz w:w="11900" w:h="16840"/>
          <w:pgMar w:top="2032" w:right="1440" w:bottom="1440" w:left="1440" w:header="267" w:footer="708" w:gutter="0"/>
          <w:cols w:space="708"/>
          <w:docGrid w:linePitch="360"/>
        </w:sectPr>
      </w:pPr>
    </w:p>
    <w:p w14:paraId="1226C12A" w14:textId="486C2B5E" w:rsidR="00BE1795" w:rsidRPr="00FF6147" w:rsidRDefault="00E03F66" w:rsidP="00E03F66">
      <w:pPr>
        <w:pStyle w:val="Heading2"/>
      </w:pPr>
      <w:bookmarkStart w:id="4" w:name="_Toc126841206"/>
      <w:r w:rsidRPr="00FF6147">
        <w:lastRenderedPageBreak/>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518FF921" w14:textId="77777777" w:rsidR="005028DA" w:rsidRDefault="00BE1BA7" w:rsidP="005028DA">
            <w:pPr>
              <w:pStyle w:val="paragraph"/>
              <w:spacing w:before="0" w:beforeAutospacing="0" w:after="0" w:afterAutospacing="0"/>
              <w:textAlignment w:val="baseline"/>
              <w:rPr>
                <w:rFonts w:ascii="Segoe UI" w:hAnsi="Segoe UI" w:cs="Segoe UI"/>
                <w:sz w:val="18"/>
                <w:szCs w:val="18"/>
              </w:rPr>
            </w:pPr>
            <w:r w:rsidRPr="00FF6147">
              <w:rPr>
                <w:color w:val="3B3838" w:themeColor="background2" w:themeShade="40"/>
              </w:rPr>
              <w:t xml:space="preserve"> </w:t>
            </w:r>
            <w:r w:rsidR="005028DA">
              <w:rPr>
                <w:rStyle w:val="normaltextrun"/>
                <w:rFonts w:ascii="Arial" w:hAnsi="Arial" w:cs="Arial"/>
                <w:color w:val="000000"/>
              </w:rPr>
              <w:t>BBSRC STFC Facility access funding for bioscience partnerships Round 3</w:t>
            </w:r>
            <w:r w:rsidR="005028DA">
              <w:rPr>
                <w:rStyle w:val="eop"/>
                <w:rFonts w:ascii="Arial" w:hAnsi="Arial" w:cs="Arial"/>
                <w:color w:val="000000"/>
              </w:rPr>
              <w:t> </w:t>
            </w:r>
          </w:p>
          <w:p w14:paraId="1B5540AE" w14:textId="77777777" w:rsidR="005028DA" w:rsidRDefault="005028DA" w:rsidP="005028D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09F16F3" w14:textId="77777777" w:rsidR="005028DA" w:rsidRDefault="005028DA" w:rsidP="005028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(Launch webinar, application process and peer review panel)</w:t>
            </w:r>
            <w:r>
              <w:rPr>
                <w:rStyle w:val="eop"/>
                <w:rFonts w:ascii="Arial" w:hAnsi="Arial" w:cs="Arial"/>
                <w:color w:val="000000"/>
              </w:rPr>
              <w:t> </w:t>
            </w:r>
          </w:p>
          <w:p w14:paraId="7882482E" w14:textId="6240238B" w:rsidR="00E03F66" w:rsidRPr="00FF6147" w:rsidRDefault="00E03F66" w:rsidP="00623DB3">
            <w:pPr>
              <w:rPr>
                <w:color w:val="3B3838" w:themeColor="background2" w:themeShade="40"/>
              </w:rPr>
            </w:pPr>
          </w:p>
          <w:p w14:paraId="3F331A70" w14:textId="776298FB" w:rsidR="004E0F63" w:rsidRPr="00E03F66" w:rsidRDefault="004E0F63" w:rsidP="004E0F63">
            <w:pPr>
              <w:rPr>
                <w:color w:val="3B3838" w:themeColor="background2" w:themeShade="40"/>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12E17A3F" w:rsidR="00E03F66" w:rsidRPr="00FF6147" w:rsidRDefault="00917BB5" w:rsidP="00623DB3">
            <w:pPr>
              <w:rPr>
                <w:color w:val="3B3838" w:themeColor="background2" w:themeShade="40"/>
              </w:rPr>
            </w:pPr>
            <w:r>
              <w:rPr>
                <w:color w:val="3B3838" w:themeColor="background2" w:themeShade="40"/>
              </w:rPr>
              <w:t>BBSRC, STFC</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1AB613DD" w14:textId="1B9EC5B9" w:rsidR="00FC1A74" w:rsidRPr="00FC1A74" w:rsidRDefault="00FC1A74" w:rsidP="00FC1A74">
            <w:pPr>
              <w:rPr>
                <w:bCs/>
                <w:color w:val="3B3838" w:themeColor="background2" w:themeShade="40"/>
              </w:rPr>
            </w:pPr>
            <w:r w:rsidRPr="00FC1A74">
              <w:rPr>
                <w:bCs/>
                <w:color w:val="3B3838" w:themeColor="background2" w:themeShade="40"/>
              </w:rPr>
              <w:t>This proposal presents a £</w:t>
            </w:r>
            <w:r>
              <w:rPr>
                <w:bCs/>
                <w:color w:val="3B3838" w:themeColor="background2" w:themeShade="40"/>
              </w:rPr>
              <w:t>2</w:t>
            </w:r>
            <w:r w:rsidRPr="00FC1A74">
              <w:rPr>
                <w:bCs/>
                <w:color w:val="3B3838" w:themeColor="background2" w:themeShade="40"/>
              </w:rPr>
              <w:t xml:space="preserve">.1m CR&amp;D investment from BBSRC and STFC to facilitate access for bioscience business-academic partnerships to STFC facilities in the UK, to solve industrially relevant challenges. </w:t>
            </w:r>
          </w:p>
          <w:p w14:paraId="6AC26FBB" w14:textId="423B0EF3" w:rsidR="00FC1A74" w:rsidRPr="00FC1A74" w:rsidRDefault="00FC1A74" w:rsidP="00FC1A74">
            <w:pPr>
              <w:rPr>
                <w:bCs/>
                <w:color w:val="3B3838" w:themeColor="background2" w:themeShade="40"/>
              </w:rPr>
            </w:pPr>
          </w:p>
          <w:p w14:paraId="40453924" w14:textId="77777777" w:rsidR="00FC1A74" w:rsidRPr="00FC1A74" w:rsidRDefault="00FC1A74" w:rsidP="00FC1A74">
            <w:pPr>
              <w:rPr>
                <w:bCs/>
                <w:color w:val="3B3838" w:themeColor="background2" w:themeShade="40"/>
              </w:rPr>
            </w:pPr>
            <w:r w:rsidRPr="00FC1A74">
              <w:rPr>
                <w:bCs/>
                <w:color w:val="3B3838" w:themeColor="background2" w:themeShade="40"/>
              </w:rPr>
              <w:t xml:space="preserve">Overall, the ambition is to support businesses and academic researchers to undertake collaborative research and development (R&amp;D) which is focused on solving industrially relevant research and innovation challenges. This will be through engaging with the unique national capabilities and facilities at STFC. </w:t>
            </w:r>
          </w:p>
          <w:p w14:paraId="60BA8AB3" w14:textId="03B816D0" w:rsidR="00FC1A74" w:rsidRPr="00FC1A74" w:rsidRDefault="00FC1A74" w:rsidP="00FC1A74">
            <w:pPr>
              <w:rPr>
                <w:bCs/>
                <w:color w:val="3B3838" w:themeColor="background2" w:themeShade="40"/>
              </w:rPr>
            </w:pPr>
          </w:p>
          <w:p w14:paraId="3297AAC9" w14:textId="5ED8B147" w:rsidR="00FC1A74" w:rsidRPr="00FC1A74" w:rsidRDefault="00FC1A74" w:rsidP="00FC1A74">
            <w:pPr>
              <w:rPr>
                <w:bCs/>
                <w:color w:val="3B3838" w:themeColor="background2" w:themeShade="40"/>
              </w:rPr>
            </w:pPr>
            <w:r w:rsidRPr="00FC1A74">
              <w:rPr>
                <w:bCs/>
                <w:color w:val="3B3838" w:themeColor="background2" w:themeShade="40"/>
              </w:rPr>
              <w:t xml:space="preserve">These collaborations will be supported in accessing and working with STFC’s large scale facilities, advanced analytical technologies, and high-performance computing or data expertise. </w:t>
            </w:r>
          </w:p>
          <w:p w14:paraId="7F7FBBFB" w14:textId="77777777" w:rsidR="00FC1A74" w:rsidRPr="00FC1A74" w:rsidRDefault="00FC1A74" w:rsidP="00FC1A74">
            <w:pPr>
              <w:rPr>
                <w:bCs/>
                <w:color w:val="3B3838" w:themeColor="background2" w:themeShade="40"/>
              </w:rPr>
            </w:pPr>
          </w:p>
          <w:p w14:paraId="72FD911A" w14:textId="625B8527" w:rsidR="00E03F66" w:rsidRPr="005028DA" w:rsidRDefault="00FC1A74" w:rsidP="00FC1A74">
            <w:pPr>
              <w:rPr>
                <w:bCs/>
                <w:color w:val="3B3838" w:themeColor="background2" w:themeShade="40"/>
              </w:rPr>
            </w:pPr>
            <w:r w:rsidRPr="00FC1A74">
              <w:rPr>
                <w:bCs/>
                <w:color w:val="3B3838" w:themeColor="background2" w:themeShade="40"/>
              </w:rPr>
              <w:t>The programme provides support and access to advanced analytical technologies, expertise, and capabilities, located at STFC’s large scale science facilities around the UK including Harwell, and Daresbury.</w:t>
            </w: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01F22CA6" w14:textId="77777777" w:rsidR="002E0B23" w:rsidRPr="002E0B23" w:rsidRDefault="002E0B23" w:rsidP="002E0B23">
            <w:pPr>
              <w:rPr>
                <w:bCs/>
                <w:color w:val="3B3838" w:themeColor="background2" w:themeShade="40"/>
              </w:rPr>
            </w:pPr>
            <w:r w:rsidRPr="002E0B23">
              <w:rPr>
                <w:bCs/>
                <w:color w:val="3B3838" w:themeColor="background2" w:themeShade="40"/>
              </w:rPr>
              <w:t xml:space="preserve">Short term - Panel members and applicants to the funding call, reviewers, BBSRC/STFC/UKRI staff. </w:t>
            </w:r>
          </w:p>
          <w:p w14:paraId="6AF2AC5E" w14:textId="6A4A69A9" w:rsidR="002E0B23" w:rsidRPr="002E0B23" w:rsidRDefault="002E0B23" w:rsidP="002E0B23">
            <w:pPr>
              <w:rPr>
                <w:bCs/>
                <w:color w:val="3B3838" w:themeColor="background2" w:themeShade="40"/>
              </w:rPr>
            </w:pPr>
          </w:p>
          <w:p w14:paraId="02D0569E" w14:textId="7ACB7ABF" w:rsidR="00E03F66" w:rsidRPr="00E03F66" w:rsidRDefault="002E0B23" w:rsidP="002E0B23">
            <w:pPr>
              <w:rPr>
                <w:bCs/>
                <w:color w:val="3B3838" w:themeColor="background2" w:themeShade="40"/>
              </w:rPr>
            </w:pPr>
            <w:r w:rsidRPr="002E0B23">
              <w:rPr>
                <w:bCs/>
                <w:color w:val="3B3838" w:themeColor="background2" w:themeShade="40"/>
              </w:rPr>
              <w:t>Long-term – Public, Businesses, Academics, project staff and students.</w:t>
            </w: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6B2B2C98" w14:textId="77777777" w:rsidR="00722563" w:rsidRPr="00722563" w:rsidRDefault="00722563" w:rsidP="00722563">
            <w:pPr>
              <w:rPr>
                <w:color w:val="3B3838" w:themeColor="background2" w:themeShade="40"/>
              </w:rPr>
            </w:pPr>
            <w:r w:rsidRPr="00722563">
              <w:rPr>
                <w:color w:val="3B3838" w:themeColor="background2" w:themeShade="40"/>
              </w:rPr>
              <w:t xml:space="preserve">This policy is in line with the Equality Impact Assessment that was initially created for this funding opportunity in 2022.  </w:t>
            </w:r>
          </w:p>
          <w:p w14:paraId="725ABF39" w14:textId="77777777" w:rsidR="00722563" w:rsidRPr="00722563" w:rsidRDefault="00722563" w:rsidP="00722563">
            <w:pPr>
              <w:pStyle w:val="ListParagraph"/>
              <w:rPr>
                <w:color w:val="3B3838" w:themeColor="background2" w:themeShade="40"/>
              </w:rPr>
            </w:pPr>
          </w:p>
          <w:p w14:paraId="133A7E5C" w14:textId="66C59A21" w:rsidR="00A10000" w:rsidRPr="00722563" w:rsidRDefault="00722563" w:rsidP="00722563">
            <w:pPr>
              <w:rPr>
                <w:color w:val="3B3838" w:themeColor="background2" w:themeShade="40"/>
              </w:rPr>
            </w:pPr>
            <w:r w:rsidRPr="00722563">
              <w:rPr>
                <w:color w:val="3B3838" w:themeColor="background2" w:themeShade="40"/>
              </w:rPr>
              <w:t>In the previous assessment, BBSRC and STFC consulted Equality Impact Assessments conducted for relevant BBSRC calls and schemes.</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lastRenderedPageBreak/>
        <w:t xml:space="preserve">Analysing your </w:t>
      </w:r>
      <w:r w:rsidR="00F105AB">
        <w:t>i</w:t>
      </w:r>
      <w:r>
        <w:t>mpact</w:t>
      </w:r>
      <w:bookmarkEnd w:id="5"/>
    </w:p>
    <w:p w14:paraId="0A6336E1" w14:textId="58BDDED0" w:rsidR="00A40B47" w:rsidRPr="00E03F66" w:rsidRDefault="00A40B47" w:rsidP="32DE02D3"/>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0"/>
              <w14:checkedState w14:val="2612" w14:font="MS Gothic"/>
              <w14:uncheckedState w14:val="2610" w14:font="MS Gothic"/>
            </w14:checkbox>
          </w:sdtPr>
          <w:sdtEndPr/>
          <w:sdtContent>
            <w:tc>
              <w:tcPr>
                <w:tcW w:w="1197" w:type="dxa"/>
              </w:tcPr>
              <w:p w14:paraId="10E36433" w14:textId="5DAFE8C0"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E87B67D" w14:textId="438D07BC" w:rsidR="0013632F" w:rsidRPr="0013632F" w:rsidRDefault="001A2C2D" w:rsidP="0013632F">
            <w:r w:rsidRPr="001A2C2D">
              <w:t>No known negative impact</w:t>
            </w:r>
          </w:p>
        </w:tc>
        <w:tc>
          <w:tcPr>
            <w:tcW w:w="4587" w:type="dxa"/>
          </w:tcPr>
          <w:p w14:paraId="3770E1EE" w14:textId="0E9DB4BB" w:rsidR="0013632F" w:rsidRPr="0013632F" w:rsidRDefault="001A2C2D" w:rsidP="0013632F">
            <w:r w:rsidRPr="001A2C2D">
              <w:t xml:space="preserve">Panel members are required to follow best practice in taking positive steps to safeguard funding </w:t>
            </w:r>
            <w:proofErr w:type="gramStart"/>
            <w:r w:rsidRPr="001A2C2D">
              <w:t>decisions, and</w:t>
            </w:r>
            <w:proofErr w:type="gramEnd"/>
            <w:r w:rsidRPr="001A2C2D">
              <w:t xml:space="preserve"> are reminded of the conditions that may lead to unconscious bias during each meeting. STFC/BBSRC staff presence during meetings acts as an additional assurance to ensure unbiased peer review.</w:t>
            </w: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36C06880" w:rsidR="0013632F" w:rsidRPr="0013632F" w:rsidRDefault="00722563" w:rsidP="0013632F">
                <w:r>
                  <w:rPr>
                    <w:rFonts w:ascii="MS Gothic" w:eastAsia="MS Gothic" w:hAnsi="MS Gothic" w:cs="Arial" w:hint="eastAsia"/>
                    <w:color w:val="000000" w:themeColor="text1"/>
                    <w:sz w:val="40"/>
                    <w:szCs w:val="40"/>
                  </w:rPr>
                  <w:t>☒</w:t>
                </w:r>
              </w:p>
            </w:tc>
          </w:sdtContent>
        </w:sdt>
        <w:tc>
          <w:tcPr>
            <w:tcW w:w="4805" w:type="dxa"/>
          </w:tcPr>
          <w:p w14:paraId="1C5AD03E" w14:textId="77777777" w:rsidR="00CD0BCF" w:rsidRPr="00CD0BCF" w:rsidRDefault="00CD0BCF" w:rsidP="00CD0BCF">
            <w:r w:rsidRPr="00CD0BCF">
              <w:t xml:space="preserve">BBSRC recognises that disability has a diverse spectrum. Specific examples of barriers are provided below but are not intended to cover this spectrum in its entirety. </w:t>
            </w:r>
          </w:p>
          <w:p w14:paraId="62F397AA" w14:textId="77777777" w:rsidR="00CD0BCF" w:rsidRPr="00CD0BCF" w:rsidRDefault="00CD0BCF" w:rsidP="00CD0BCF"/>
          <w:p w14:paraId="3F536BC2" w14:textId="088C031F" w:rsidR="00CD0BCF" w:rsidRPr="00CD0BCF" w:rsidRDefault="00CD0BCF" w:rsidP="00CD0BCF">
            <w:r w:rsidRPr="00CD0BCF">
              <w:t xml:space="preserve">Difficulties attending events, meetings, or panels.  </w:t>
            </w:r>
          </w:p>
          <w:p w14:paraId="19C77E7B" w14:textId="77777777" w:rsidR="00CD0BCF" w:rsidRDefault="00CD0BCF" w:rsidP="00CD0BCF"/>
          <w:p w14:paraId="73A5D65B" w14:textId="7A57EA61" w:rsidR="00CD0BCF" w:rsidRPr="00CD0BCF" w:rsidRDefault="00CD0BCF" w:rsidP="00CD0BCF">
            <w:r w:rsidRPr="00CD0BCF">
              <w:t xml:space="preserve">Individuals who have a visual disability may find it difficult to access and view the electronic </w:t>
            </w:r>
            <w:r w:rsidRPr="00CD0BCF">
              <w:lastRenderedPageBreak/>
              <w:t xml:space="preserve">adverts, attend events/ meetings/ panels, view online documentation and/ or complete the online application form.  </w:t>
            </w:r>
          </w:p>
          <w:p w14:paraId="3C1D483C" w14:textId="77777777" w:rsidR="00CD0BCF" w:rsidRPr="00CD0BCF" w:rsidRDefault="00CD0BCF" w:rsidP="00CD0BCF"/>
          <w:p w14:paraId="4A690448" w14:textId="77777777" w:rsidR="00CD0BCF" w:rsidRPr="00CD0BCF" w:rsidRDefault="00CD0BCF" w:rsidP="00CD0BCF">
            <w:r w:rsidRPr="00CD0BCF">
              <w:t xml:space="preserve"> </w:t>
            </w:r>
          </w:p>
          <w:p w14:paraId="39D619DF" w14:textId="77777777" w:rsidR="00CD0BCF" w:rsidRPr="00CD0BCF" w:rsidRDefault="00CD0BCF" w:rsidP="00CD0BCF"/>
          <w:p w14:paraId="24A6CCBD" w14:textId="65AB4013" w:rsidR="0013632F" w:rsidRPr="0013632F" w:rsidRDefault="00CD0BCF" w:rsidP="00CD0BCF">
            <w:r w:rsidRPr="00CD0BCF">
              <w:t xml:space="preserve">Potential difficulties with concentration.  </w:t>
            </w:r>
          </w:p>
        </w:tc>
        <w:tc>
          <w:tcPr>
            <w:tcW w:w="4587" w:type="dxa"/>
          </w:tcPr>
          <w:p w14:paraId="0F676C43" w14:textId="77777777" w:rsidR="002A4B7B" w:rsidRPr="002A4B7B" w:rsidRDefault="002A4B7B" w:rsidP="002A4B7B">
            <w:r w:rsidRPr="002A4B7B">
              <w:lastRenderedPageBreak/>
              <w:t xml:space="preserve">All applicants and panel members will be asked to highlight any personal circumstances that will need additional support. BBSRC will make reasonable adjustments, where possible, to support individual needs. Please contact business.unit@bbsrc.ukri.org </w:t>
            </w:r>
          </w:p>
          <w:p w14:paraId="0DB0FADE" w14:textId="77777777" w:rsidR="002A4B7B" w:rsidRPr="002A4B7B" w:rsidRDefault="002A4B7B" w:rsidP="002A4B7B"/>
          <w:p w14:paraId="5994D6C9" w14:textId="77777777" w:rsidR="002A4B7B" w:rsidRPr="002A4B7B" w:rsidRDefault="002A4B7B" w:rsidP="002A4B7B">
            <w:r w:rsidRPr="002A4B7B">
              <w:t xml:space="preserve"> </w:t>
            </w:r>
          </w:p>
          <w:p w14:paraId="3E00C971" w14:textId="77777777" w:rsidR="002A4B7B" w:rsidRPr="002A4B7B" w:rsidRDefault="002A4B7B" w:rsidP="002A4B7B"/>
          <w:p w14:paraId="3F3CC785" w14:textId="77777777" w:rsidR="002A4B7B" w:rsidRPr="002A4B7B" w:rsidRDefault="002A4B7B" w:rsidP="002A4B7B">
            <w:r w:rsidRPr="002A4B7B">
              <w:lastRenderedPageBreak/>
              <w:t xml:space="preserve">Events and meetings can be held in a hybrid format, with attendees being able to join virtually if needed. Events can also be recorded.  </w:t>
            </w:r>
          </w:p>
          <w:p w14:paraId="19BF207F" w14:textId="77777777" w:rsidR="002A4B7B" w:rsidRPr="002A4B7B" w:rsidRDefault="002A4B7B" w:rsidP="002A4B7B"/>
          <w:p w14:paraId="12E79F7A" w14:textId="28009F39" w:rsidR="002A4B7B" w:rsidRPr="002A4B7B" w:rsidRDefault="002A4B7B" w:rsidP="002A4B7B">
            <w:r w:rsidRPr="002A4B7B">
              <w:t xml:space="preserve">Arrangement of closed captioning (cc) for those with hearing impairments attending virtually to events/ meetings/ panels.  </w:t>
            </w:r>
          </w:p>
          <w:p w14:paraId="099C9663" w14:textId="06155305" w:rsidR="002A4B7B" w:rsidRPr="002A4B7B" w:rsidRDefault="002A4B7B" w:rsidP="002A4B7B"/>
          <w:p w14:paraId="1A6C5401" w14:textId="77777777" w:rsidR="002A4B7B" w:rsidRPr="002A4B7B" w:rsidRDefault="002A4B7B" w:rsidP="002A4B7B">
            <w:r w:rsidRPr="002A4B7B">
              <w:t xml:space="preserve">Arrangement of appropriate colour / text will be arranged for those with visual impairments. </w:t>
            </w:r>
          </w:p>
          <w:p w14:paraId="04A50157" w14:textId="77777777" w:rsidR="002A4B7B" w:rsidRPr="002A4B7B" w:rsidRDefault="002A4B7B" w:rsidP="002A4B7B"/>
          <w:p w14:paraId="703B6D98" w14:textId="36F0AF0E" w:rsidR="002A4B7B" w:rsidRPr="002A4B7B" w:rsidRDefault="002A4B7B" w:rsidP="002A4B7B">
            <w:r w:rsidRPr="002A4B7B">
              <w:t xml:space="preserve">Alternatively, BBSRC will provide a printed version of documentation/ guidance to anyone who is unable to view/complete it online. </w:t>
            </w:r>
          </w:p>
          <w:p w14:paraId="32E8576E" w14:textId="77777777" w:rsidR="002A4B7B" w:rsidRPr="002A4B7B" w:rsidRDefault="002A4B7B" w:rsidP="002A4B7B"/>
          <w:p w14:paraId="4B904F45" w14:textId="10416BFC" w:rsidR="002A4B7B" w:rsidRPr="002A4B7B" w:rsidRDefault="002A4B7B" w:rsidP="002A4B7B">
            <w:r w:rsidRPr="002A4B7B">
              <w:t xml:space="preserve">Communications (e.g., from events) will be recorded and shared online and modified versions can be shared upon request (cc, alternative font, font size, font colour). </w:t>
            </w:r>
          </w:p>
          <w:p w14:paraId="7A3DD6CA" w14:textId="77777777" w:rsidR="002A4B7B" w:rsidRPr="002A4B7B" w:rsidRDefault="002A4B7B" w:rsidP="002A4B7B"/>
          <w:p w14:paraId="2E09443B" w14:textId="31660396" w:rsidR="0013632F" w:rsidRPr="0013632F" w:rsidRDefault="002A4B7B" w:rsidP="002A4B7B">
            <w:r w:rsidRPr="002A4B7B">
              <w:t xml:space="preserve">BBSRC will ensure that plenty of breaks are built into each activity (e.g. comfort breaks and a substantial lunch break).  </w:t>
            </w:r>
          </w:p>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0"/>
              <w14:checkedState w14:val="2612" w14:font="MS Gothic"/>
              <w14:uncheckedState w14:val="2610" w14:font="MS Gothic"/>
            </w14:checkbox>
          </w:sdtPr>
          <w:sdtEndPr/>
          <w:sdtContent>
            <w:tc>
              <w:tcPr>
                <w:tcW w:w="1197" w:type="dxa"/>
              </w:tcPr>
              <w:p w14:paraId="48440B2A" w14:textId="387A84D5"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F79826A" w14:textId="77777777" w:rsidR="0013632F" w:rsidRDefault="00B81359" w:rsidP="0013632F">
            <w:r w:rsidRPr="00B81359">
              <w:t>No known negative impact</w:t>
            </w:r>
          </w:p>
          <w:p w14:paraId="743AAA66" w14:textId="77777777" w:rsidR="00B81359" w:rsidRDefault="00B81359" w:rsidP="0013632F"/>
          <w:p w14:paraId="07D42428" w14:textId="5C88F70A" w:rsidR="00B107D1" w:rsidRPr="00B107D1" w:rsidRDefault="00B107D1" w:rsidP="00B107D1">
            <w:r w:rsidRPr="00B107D1">
              <w:t>Call text and guidance</w:t>
            </w:r>
            <w:r>
              <w:t xml:space="preserve"> will </w:t>
            </w:r>
            <w:r w:rsidRPr="00B107D1">
              <w:t xml:space="preserve">not be skewed towards a specific gender. </w:t>
            </w:r>
          </w:p>
          <w:p w14:paraId="707BC7BA" w14:textId="77777777" w:rsidR="00B107D1" w:rsidRPr="00B107D1" w:rsidRDefault="00B107D1" w:rsidP="00B107D1"/>
          <w:p w14:paraId="57AA296C" w14:textId="77777777" w:rsidR="00B107D1" w:rsidRPr="00B107D1" w:rsidRDefault="00B107D1" w:rsidP="00B107D1">
            <w:r w:rsidRPr="00B107D1">
              <w:t xml:space="preserve"> </w:t>
            </w:r>
          </w:p>
          <w:p w14:paraId="36040201" w14:textId="77777777" w:rsidR="00B107D1" w:rsidRPr="00B107D1" w:rsidRDefault="00B107D1" w:rsidP="00B107D1"/>
          <w:p w14:paraId="52CDBE2C" w14:textId="77777777" w:rsidR="00B107D1" w:rsidRPr="00B107D1" w:rsidRDefault="00B107D1" w:rsidP="00B107D1">
            <w:r w:rsidRPr="00B107D1">
              <w:t xml:space="preserve"> </w:t>
            </w:r>
          </w:p>
          <w:p w14:paraId="3A0587B5" w14:textId="77777777" w:rsidR="00B107D1" w:rsidRPr="00B107D1" w:rsidRDefault="00B107D1" w:rsidP="00B107D1"/>
          <w:p w14:paraId="756D2DD6" w14:textId="0E7CF7FF" w:rsidR="00B81359" w:rsidRPr="0013632F" w:rsidRDefault="00B107D1" w:rsidP="00B107D1">
            <w:r w:rsidRPr="00B107D1">
              <w:lastRenderedPageBreak/>
              <w:t xml:space="preserve">Action </w:t>
            </w:r>
            <w:r>
              <w:t>will</w:t>
            </w:r>
            <w:r w:rsidRPr="00B107D1">
              <w:t xml:space="preserve"> be taken to avoid misgendering individuals.</w:t>
            </w:r>
          </w:p>
        </w:tc>
        <w:tc>
          <w:tcPr>
            <w:tcW w:w="4587" w:type="dxa"/>
          </w:tcPr>
          <w:p w14:paraId="06877322" w14:textId="77777777" w:rsidR="00FB067C" w:rsidRPr="00FB067C" w:rsidRDefault="00FB067C" w:rsidP="00FB067C">
            <w:r w:rsidRPr="00FB067C">
              <w:lastRenderedPageBreak/>
              <w:t xml:space="preserve">Gender neutral pronouns are used in the text relating to the call and are expected to be used in applications. </w:t>
            </w:r>
          </w:p>
          <w:p w14:paraId="155897ED" w14:textId="77777777" w:rsidR="00FB067C" w:rsidRPr="00FB067C" w:rsidRDefault="00FB067C" w:rsidP="00FB067C"/>
          <w:p w14:paraId="489F0788" w14:textId="76CE8EB1" w:rsidR="00FB067C" w:rsidRPr="00FB067C" w:rsidRDefault="00FB067C" w:rsidP="00FB067C">
            <w:r w:rsidRPr="00FB067C">
              <w:t xml:space="preserve">Panel members will be asked to display their preferred pronouns if they are comfortable to, minimising the risk of misgendering.  </w:t>
            </w:r>
          </w:p>
          <w:p w14:paraId="17F0C5F3" w14:textId="77777777" w:rsidR="00FB067C" w:rsidRPr="00FB067C" w:rsidRDefault="00FB067C" w:rsidP="00FB067C"/>
          <w:p w14:paraId="0AE6B114" w14:textId="77777777" w:rsidR="00FB067C" w:rsidRPr="00FB067C" w:rsidRDefault="00FB067C" w:rsidP="00FB067C">
            <w:r w:rsidRPr="00FB067C">
              <w:t xml:space="preserve"> </w:t>
            </w:r>
          </w:p>
          <w:p w14:paraId="4F240FC7" w14:textId="77777777" w:rsidR="00FB067C" w:rsidRPr="00FB067C" w:rsidRDefault="00FB067C" w:rsidP="00FB067C"/>
          <w:p w14:paraId="78846AF1" w14:textId="357E1205" w:rsidR="0013632F" w:rsidRPr="0013632F" w:rsidRDefault="00FB067C" w:rsidP="00FB067C">
            <w:r w:rsidRPr="00FB067C">
              <w:t xml:space="preserve">Panel members are required to follow best practice in taking positive steps to safeguard funding </w:t>
            </w:r>
            <w:proofErr w:type="gramStart"/>
            <w:r w:rsidRPr="00FB067C">
              <w:t>decisions, and</w:t>
            </w:r>
            <w:proofErr w:type="gramEnd"/>
            <w:r w:rsidRPr="00FB067C">
              <w:t xml:space="preserve"> are reminded of the conditions that may lead to unconscious bias during each meeting. STFC/BBSRC staff presence during meetings acts as an additional assurance to ensure unbiased peer review.</w:t>
            </w: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37AEAB48" w:rsidR="0013632F" w:rsidRPr="0013632F" w:rsidRDefault="00FB067C" w:rsidP="0013632F">
            <w:r w:rsidRPr="00FB067C">
              <w:t>No known negative impac</w:t>
            </w:r>
            <w:r>
              <w:t>t</w:t>
            </w:r>
          </w:p>
        </w:tc>
        <w:tc>
          <w:tcPr>
            <w:tcW w:w="4587" w:type="dxa"/>
          </w:tcPr>
          <w:p w14:paraId="3E673427" w14:textId="4CC401BC" w:rsidR="0013632F" w:rsidRPr="0013632F" w:rsidRDefault="00172649" w:rsidP="00172649">
            <w:r w:rsidRPr="00172649">
              <w:t xml:space="preserve">Panel members are required to follow best practice in taking positive steps to safeguard funding </w:t>
            </w:r>
            <w:proofErr w:type="gramStart"/>
            <w:r w:rsidRPr="00172649">
              <w:t>decisions, and</w:t>
            </w:r>
            <w:proofErr w:type="gramEnd"/>
            <w:r w:rsidRPr="00172649">
              <w:t xml:space="preserve"> are reminded of the conditions that may lead to unconscious bias during each meeting.</w:t>
            </w:r>
            <w:r>
              <w:t xml:space="preserve"> </w:t>
            </w:r>
            <w:r w:rsidRPr="00172649">
              <w:t>STFC/BBSRC staff presence during meetings acts as an additional assurance to ensure unbiased peer review.</w:t>
            </w:r>
          </w:p>
        </w:tc>
      </w:tr>
      <w:tr w:rsidR="0013632F" w:rsidRPr="0013632F" w14:paraId="6050ABF1" w14:textId="77777777" w:rsidTr="46E99FCF">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33844D5B" w:rsidR="0013632F" w:rsidRPr="0013632F" w:rsidRDefault="00657B3D" w:rsidP="0013632F">
                <w:r>
                  <w:rPr>
                    <w:rFonts w:ascii="MS Gothic" w:eastAsia="MS Gothic" w:hAnsi="MS Gothic" w:cs="Arial" w:hint="eastAsia"/>
                    <w:color w:val="000000" w:themeColor="text1"/>
                    <w:sz w:val="40"/>
                    <w:szCs w:val="40"/>
                  </w:rPr>
                  <w:t>☒</w:t>
                </w:r>
              </w:p>
            </w:tc>
          </w:sdtContent>
        </w:sdt>
        <w:tc>
          <w:tcPr>
            <w:tcW w:w="4805" w:type="dxa"/>
          </w:tcPr>
          <w:p w14:paraId="3DB3961E" w14:textId="77777777" w:rsidR="00157EE4" w:rsidRPr="00157EE4" w:rsidRDefault="00157EE4" w:rsidP="00157EE4">
            <w:r w:rsidRPr="00157EE4">
              <w:t xml:space="preserve">Difficulties attending the events/ meetings/ panels.  </w:t>
            </w:r>
          </w:p>
          <w:p w14:paraId="2D92C85A" w14:textId="77777777" w:rsidR="00157EE4" w:rsidRPr="00157EE4" w:rsidRDefault="00157EE4" w:rsidP="00157EE4"/>
          <w:p w14:paraId="5259EE6F" w14:textId="6AFB8B81" w:rsidR="00157EE4" w:rsidRPr="00157EE4" w:rsidRDefault="00157EE4" w:rsidP="00157EE4">
            <w:r w:rsidRPr="00157EE4">
              <w:t xml:space="preserve">Requirement for regular breaks.  </w:t>
            </w:r>
          </w:p>
          <w:p w14:paraId="5F1D0305" w14:textId="77777777" w:rsidR="00157EE4" w:rsidRPr="00157EE4" w:rsidRDefault="00157EE4" w:rsidP="00157EE4"/>
          <w:p w14:paraId="0B3243D0" w14:textId="1B0B7C25" w:rsidR="0013632F" w:rsidRPr="0013632F" w:rsidRDefault="00157EE4" w:rsidP="00157EE4">
            <w:r w:rsidRPr="00157EE4">
              <w:t>Applicants may feel uncomfortable applying knowing that they are going on parental leave soon.</w:t>
            </w:r>
          </w:p>
        </w:tc>
        <w:tc>
          <w:tcPr>
            <w:tcW w:w="4587" w:type="dxa"/>
          </w:tcPr>
          <w:p w14:paraId="576CDA4C" w14:textId="77777777" w:rsidR="007730DA" w:rsidRPr="007730DA" w:rsidRDefault="007730DA" w:rsidP="007730DA">
            <w:r w:rsidRPr="007730DA">
              <w:t xml:space="preserve">Events will be recorded to allow so any attendees who cannot attend can view them.  </w:t>
            </w:r>
          </w:p>
          <w:p w14:paraId="15E6286A" w14:textId="77777777" w:rsidR="007730DA" w:rsidRDefault="007730DA" w:rsidP="007730DA"/>
          <w:p w14:paraId="597B3A5B" w14:textId="61D3D02D" w:rsidR="007730DA" w:rsidRPr="007730DA" w:rsidRDefault="007730DA" w:rsidP="007730DA">
            <w:r w:rsidRPr="007730DA">
              <w:t xml:space="preserve">BBSRC will ensure that plenty of breaks are built into each activity (e.g. comfort breaks and a substantial lunch break). Applicants/ panel members/ staff are encouraged to request and take comfort breaks as required.  </w:t>
            </w:r>
          </w:p>
          <w:p w14:paraId="677AA4C6" w14:textId="77777777" w:rsidR="007730DA" w:rsidRPr="007730DA" w:rsidRDefault="007730DA" w:rsidP="007730DA"/>
          <w:p w14:paraId="226037FD" w14:textId="6227F523" w:rsidR="0013632F" w:rsidRPr="0013632F" w:rsidRDefault="007730DA" w:rsidP="007730DA">
            <w:r w:rsidRPr="007730DA">
              <w:t>UKRI policy ensures that grant extensions, and movement of start dates are available to individuals who have been on and/or are going on maternity/parental leave.</w:t>
            </w:r>
          </w:p>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0"/>
              <w14:checkedState w14:val="2612" w14:font="MS Gothic"/>
              <w14:uncheckedState w14:val="2610" w14:font="MS Gothic"/>
            </w14:checkbox>
          </w:sdtPr>
          <w:sdtEndPr/>
          <w:sdtContent>
            <w:tc>
              <w:tcPr>
                <w:tcW w:w="1197" w:type="dxa"/>
              </w:tcPr>
              <w:p w14:paraId="49345275" w14:textId="0025DF09"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74C1FD4" w14:textId="48DE0F46" w:rsidR="0013632F" w:rsidRPr="0013632F" w:rsidRDefault="008015FC" w:rsidP="0013632F">
            <w:r w:rsidRPr="008015FC">
              <w:t>No known negative impact</w:t>
            </w:r>
          </w:p>
        </w:tc>
        <w:tc>
          <w:tcPr>
            <w:tcW w:w="4587" w:type="dxa"/>
          </w:tcPr>
          <w:p w14:paraId="2EE2CD69" w14:textId="77777777" w:rsidR="001C12F8" w:rsidRPr="001C12F8" w:rsidRDefault="001C12F8" w:rsidP="001C12F8">
            <w:r w:rsidRPr="001C12F8">
              <w:t xml:space="preserve">Panel members are required to follow best practice in taking positive steps to safeguard funding </w:t>
            </w:r>
            <w:proofErr w:type="gramStart"/>
            <w:r w:rsidRPr="001C12F8">
              <w:t>decisions, and</w:t>
            </w:r>
            <w:proofErr w:type="gramEnd"/>
            <w:r w:rsidRPr="001C12F8">
              <w:t xml:space="preserve"> are reminded of the conditions that may lead to unconscious bias </w:t>
            </w:r>
            <w:r w:rsidRPr="001C12F8">
              <w:lastRenderedPageBreak/>
              <w:t xml:space="preserve">during each meeting. STFC/BBSRC staff presence during meetings acts as an </w:t>
            </w:r>
          </w:p>
          <w:p w14:paraId="3E6DF33D" w14:textId="64A087ED" w:rsidR="0013632F" w:rsidRPr="0013632F" w:rsidRDefault="001C12F8" w:rsidP="001C12F8">
            <w:r w:rsidRPr="001C12F8">
              <w:t>additional assurance to ensure unbiased peer review.</w:t>
            </w:r>
          </w:p>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lastRenderedPageBreak/>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70FBF7BF" w:rsidR="0013632F" w:rsidRPr="0013632F" w:rsidRDefault="00657B3D" w:rsidP="0013632F">
                <w:r>
                  <w:rPr>
                    <w:rFonts w:ascii="MS Gothic" w:eastAsia="MS Gothic" w:hAnsi="MS Gothic" w:cs="Arial" w:hint="eastAsia"/>
                    <w:color w:val="000000" w:themeColor="text1"/>
                    <w:sz w:val="40"/>
                    <w:szCs w:val="40"/>
                  </w:rPr>
                  <w:t>☒</w:t>
                </w:r>
              </w:p>
            </w:tc>
          </w:sdtContent>
        </w:sdt>
        <w:tc>
          <w:tcPr>
            <w:tcW w:w="4805" w:type="dxa"/>
          </w:tcPr>
          <w:p w14:paraId="1C1A5A6B" w14:textId="7AF89FD6" w:rsidR="0007250B" w:rsidRPr="0013632F" w:rsidRDefault="00FB3CA5" w:rsidP="0013632F">
            <w:r w:rsidRPr="00FB3CA5">
              <w:t>Key dates for the call coincide with some religious (and public) holidays.</w:t>
            </w:r>
          </w:p>
        </w:tc>
        <w:tc>
          <w:tcPr>
            <w:tcW w:w="4587" w:type="dxa"/>
          </w:tcPr>
          <w:p w14:paraId="32E3B441" w14:textId="4C54E29C" w:rsidR="0013632F" w:rsidRPr="00D136BB" w:rsidRDefault="00992CBF" w:rsidP="0013632F">
            <w:r w:rsidRPr="00D136BB">
              <w:t xml:space="preserve">The </w:t>
            </w:r>
            <w:r w:rsidR="00FF026D" w:rsidRPr="00D136BB">
              <w:t>expression of interest</w:t>
            </w:r>
            <w:r w:rsidRPr="00D136BB">
              <w:t xml:space="preserve"> is a </w:t>
            </w:r>
            <w:r w:rsidR="00FF026D" w:rsidRPr="00D136BB">
              <w:t>short application which mitigates the impacts of religious festivals occurring during the EOI stage</w:t>
            </w:r>
            <w:r w:rsidR="00D136BB" w:rsidRPr="00D136BB">
              <w:t xml:space="preserve">. </w:t>
            </w:r>
          </w:p>
          <w:p w14:paraId="29CDFE4A" w14:textId="77777777" w:rsidR="00537533" w:rsidRPr="00D136BB" w:rsidRDefault="00537533" w:rsidP="0013632F"/>
          <w:p w14:paraId="3A0B6D60" w14:textId="64E46817" w:rsidR="00537533" w:rsidRPr="0013632F" w:rsidRDefault="00537533" w:rsidP="0013632F">
            <w:r w:rsidRPr="00D136BB">
              <w:t>The full stage of the call is open for a long period of time.</w:t>
            </w: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7E2CC171" w:rsidR="0013632F" w:rsidRPr="0013632F" w:rsidRDefault="00D93AEB" w:rsidP="0013632F">
            <w:r w:rsidRPr="00D93AEB">
              <w:t>No known negative impact</w:t>
            </w:r>
          </w:p>
        </w:tc>
        <w:tc>
          <w:tcPr>
            <w:tcW w:w="4587" w:type="dxa"/>
          </w:tcPr>
          <w:p w14:paraId="20C85CEE" w14:textId="2BC584A7" w:rsidR="0013632F" w:rsidRPr="0013632F" w:rsidRDefault="00D93AEB" w:rsidP="0013632F">
            <w:r w:rsidRPr="00D93AEB">
              <w:t xml:space="preserve">Panel members are required to follow best practice in taking positive steps to safeguard funding </w:t>
            </w:r>
            <w:proofErr w:type="gramStart"/>
            <w:r w:rsidRPr="00D93AEB">
              <w:t>decisions, and</w:t>
            </w:r>
            <w:proofErr w:type="gramEnd"/>
            <w:r w:rsidRPr="00D93AEB">
              <w:t xml:space="preserve"> are reminded of the conditions that may lead to unconscious bias during each meeting. STFC/BBSRC staff presence during meetings acts as an additional assurance to ensure unbiased peer review.</w:t>
            </w:r>
          </w:p>
        </w:tc>
      </w:tr>
      <w:tr w:rsidR="0013632F" w:rsidRPr="0013632F" w14:paraId="100D5274" w14:textId="77777777" w:rsidTr="46E99FCF">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0"/>
              <w14:checkedState w14:val="2612" w14:font="MS Gothic"/>
              <w14:uncheckedState w14:val="2610" w14:font="MS Gothic"/>
            </w14:checkbox>
          </w:sdtPr>
          <w:sdtEndPr/>
          <w:sdtContent>
            <w:tc>
              <w:tcPr>
                <w:tcW w:w="1197" w:type="dxa"/>
              </w:tcPr>
              <w:p w14:paraId="2B4E8356" w14:textId="2B7640F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E114FF5" w14:textId="387A530F" w:rsidR="0013632F" w:rsidRPr="0013632F" w:rsidRDefault="00D93AEB" w:rsidP="0013632F">
            <w:r w:rsidRPr="00D93AEB">
              <w:t>No known negative impact</w:t>
            </w:r>
          </w:p>
        </w:tc>
        <w:tc>
          <w:tcPr>
            <w:tcW w:w="4587" w:type="dxa"/>
          </w:tcPr>
          <w:p w14:paraId="79356269" w14:textId="2498FAC2" w:rsidR="0013632F" w:rsidRPr="0013632F" w:rsidRDefault="00D93AEB" w:rsidP="0013632F">
            <w:r w:rsidRPr="00D93AEB">
              <w:t xml:space="preserve">Panel members are required to follow best practice in taking positive steps to safeguard funding </w:t>
            </w:r>
            <w:proofErr w:type="gramStart"/>
            <w:r w:rsidRPr="00D93AEB">
              <w:t>decisions, and</w:t>
            </w:r>
            <w:proofErr w:type="gramEnd"/>
            <w:r w:rsidRPr="00D93AEB">
              <w:t xml:space="preserve"> are reminded of the conditions that may lead to unconscious bias during each meeting. STFC/BBSRC staff presence during meetings acts as an additional assurance to ensure unbiased peer review.</w:t>
            </w: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27AF0736">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 xml:space="preserve">Positive impact or </w:t>
            </w:r>
            <w:r w:rsidRPr="00623DB3">
              <w:rPr>
                <w:b/>
                <w:bCs/>
              </w:rPr>
              <w:lastRenderedPageBreak/>
              <w:t>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lastRenderedPageBreak/>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27AF0736">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27AF0736">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60F624CB" w:rsidR="00E904DF" w:rsidRPr="00E904DF" w:rsidRDefault="00E14BF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2D3C02F" w14:textId="77777777" w:rsidR="00762B05" w:rsidRDefault="00762B05" w:rsidP="00E904DF">
            <w:pPr>
              <w:rPr>
                <w:bCs/>
                <w:color w:val="auto"/>
              </w:rPr>
            </w:pPr>
          </w:p>
          <w:p w14:paraId="3BA0A31D" w14:textId="07565E5B" w:rsidR="00762B05" w:rsidRDefault="00762B05" w:rsidP="00E904DF">
            <w:pPr>
              <w:rPr>
                <w:bCs/>
                <w:color w:val="auto"/>
              </w:rPr>
            </w:pPr>
            <w:r>
              <w:rPr>
                <w:bCs/>
                <w:color w:val="auto"/>
              </w:rPr>
              <w:t>Potential for negative impact</w:t>
            </w:r>
          </w:p>
          <w:p w14:paraId="01381C57" w14:textId="77777777" w:rsidR="00762B05" w:rsidRDefault="00762B05" w:rsidP="00E904DF">
            <w:pPr>
              <w:rPr>
                <w:bCs/>
                <w:color w:val="auto"/>
              </w:rPr>
            </w:pPr>
          </w:p>
          <w:p w14:paraId="161E4FC0" w14:textId="1C9E5539" w:rsidR="00E904DF" w:rsidRPr="007C4B67" w:rsidRDefault="00762B05" w:rsidP="00E904DF">
            <w:pPr>
              <w:rPr>
                <w:bCs/>
                <w:color w:val="auto"/>
              </w:rPr>
            </w:pPr>
            <w:r>
              <w:rPr>
                <w:bCs/>
                <w:color w:val="auto"/>
              </w:rPr>
              <w:t>Geographical location may prevent people from being able to attend in person events</w:t>
            </w:r>
          </w:p>
        </w:tc>
        <w:tc>
          <w:tcPr>
            <w:tcW w:w="4496" w:type="dxa"/>
          </w:tcPr>
          <w:p w14:paraId="23E62FC0" w14:textId="29D7DD6D" w:rsidR="00E904DF" w:rsidRPr="007C4B67" w:rsidRDefault="00E14BF6" w:rsidP="00E904DF">
            <w:pPr>
              <w:rPr>
                <w:bCs/>
                <w:color w:val="auto"/>
              </w:rPr>
            </w:pPr>
            <w:r w:rsidRPr="00E14BF6">
              <w:rPr>
                <w:bCs/>
                <w:color w:val="auto"/>
              </w:rPr>
              <w:t xml:space="preserve">Events and meetings can be held in a hybrid format, with attendees being able to join virtually if needed. Events can also be recorded.  </w:t>
            </w:r>
          </w:p>
        </w:tc>
      </w:tr>
      <w:tr w:rsidR="00E904DF" w:rsidRPr="007C4B67" w14:paraId="0258738E" w14:textId="77777777" w:rsidTr="27AF0736">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44492E7A" w:rsidR="00E904DF" w:rsidRPr="007C4B67" w:rsidRDefault="00B07390" w:rsidP="00E904DF">
            <w:pPr>
              <w:rPr>
                <w:bCs/>
                <w:color w:val="auto"/>
              </w:rPr>
            </w:pPr>
            <w:r w:rsidRPr="00D93AEB">
              <w:t>No known negative impact</w:t>
            </w:r>
          </w:p>
        </w:tc>
        <w:tc>
          <w:tcPr>
            <w:tcW w:w="4496" w:type="dxa"/>
          </w:tcPr>
          <w:p w14:paraId="7C2DC12A" w14:textId="11A07C25" w:rsidR="00E904DF" w:rsidRPr="007C4B67" w:rsidRDefault="00B07390" w:rsidP="00E904DF">
            <w:pPr>
              <w:rPr>
                <w:bCs/>
                <w:color w:val="auto"/>
              </w:rPr>
            </w:pPr>
            <w:r w:rsidRPr="00B07390">
              <w:rPr>
                <w:bCs/>
                <w:color w:val="auto"/>
              </w:rPr>
              <w:t xml:space="preserve">Panel members are required to follow best practice in taking positive steps to safeguard funding </w:t>
            </w:r>
            <w:proofErr w:type="gramStart"/>
            <w:r w:rsidRPr="00B07390">
              <w:rPr>
                <w:bCs/>
                <w:color w:val="auto"/>
              </w:rPr>
              <w:t>decisions, and</w:t>
            </w:r>
            <w:proofErr w:type="gramEnd"/>
            <w:r w:rsidRPr="00B07390">
              <w:rPr>
                <w:bCs/>
                <w:color w:val="auto"/>
              </w:rPr>
              <w:t xml:space="preserve"> are reminded of the conditions that may lead to unconscious bias during each meeting. STFC/BBSRC staff presence during meetings acts as an additional assurance to ensure unbiased peer review.</w:t>
            </w:r>
          </w:p>
        </w:tc>
      </w:tr>
      <w:tr w:rsidR="00E904DF" w:rsidRPr="007C4B67" w14:paraId="6D8F83A7" w14:textId="77777777" w:rsidTr="27AF0736">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4688E19A" w:rsidR="00E904DF" w:rsidRPr="007C4B67" w:rsidRDefault="00B07390" w:rsidP="00E904DF">
            <w:pPr>
              <w:rPr>
                <w:bCs/>
                <w:color w:val="auto"/>
              </w:rPr>
            </w:pPr>
            <w:r w:rsidRPr="00D93AEB">
              <w:t>No known negative impact</w:t>
            </w:r>
          </w:p>
        </w:tc>
        <w:tc>
          <w:tcPr>
            <w:tcW w:w="4496" w:type="dxa"/>
          </w:tcPr>
          <w:p w14:paraId="0C4FD448" w14:textId="14697579" w:rsidR="00E904DF" w:rsidRPr="00B07390" w:rsidRDefault="00B07390" w:rsidP="00E904DF">
            <w:pPr>
              <w:rPr>
                <w:color w:val="auto"/>
              </w:rPr>
            </w:pPr>
            <w:r w:rsidRPr="00B07390">
              <w:rPr>
                <w:color w:val="auto"/>
              </w:rPr>
              <w:t xml:space="preserve">Panel members are required to follow best practice in taking positive steps to safeguard funding </w:t>
            </w:r>
            <w:proofErr w:type="gramStart"/>
            <w:r w:rsidRPr="00B07390">
              <w:rPr>
                <w:color w:val="auto"/>
              </w:rPr>
              <w:t>decisions, and</w:t>
            </w:r>
            <w:proofErr w:type="gramEnd"/>
            <w:r w:rsidRPr="00B07390">
              <w:rPr>
                <w:color w:val="auto"/>
              </w:rPr>
              <w:t xml:space="preserve"> are reminded of the conditions that may lead to unconscious bias during each meeting. STFC/BBSRC staff presence during meetings acts as an additional assurance to ensure unbiased peer review.</w:t>
            </w:r>
          </w:p>
        </w:tc>
      </w:tr>
      <w:tr w:rsidR="00E904DF" w:rsidRPr="007C4B67" w14:paraId="6B256C9A" w14:textId="77777777" w:rsidTr="27AF0736">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29ECB189" w:rsidR="00E904DF" w:rsidRPr="00E904DF" w:rsidRDefault="00657B3D"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F956EB6" w14:textId="77777777" w:rsidR="00E904DF" w:rsidRDefault="00D12D19" w:rsidP="00E904DF">
            <w:pPr>
              <w:rPr>
                <w:bCs/>
                <w:color w:val="auto"/>
              </w:rPr>
            </w:pPr>
            <w:r>
              <w:rPr>
                <w:bCs/>
                <w:color w:val="auto"/>
              </w:rPr>
              <w:t xml:space="preserve">Potential for </w:t>
            </w:r>
            <w:r w:rsidR="004E1EAB">
              <w:rPr>
                <w:bCs/>
                <w:color w:val="auto"/>
              </w:rPr>
              <w:t>negative impact</w:t>
            </w:r>
          </w:p>
          <w:p w14:paraId="60FEA61C" w14:textId="77777777" w:rsidR="005B2D4F" w:rsidRDefault="005B2D4F" w:rsidP="00E904DF">
            <w:pPr>
              <w:rPr>
                <w:bCs/>
                <w:color w:val="auto"/>
              </w:rPr>
            </w:pPr>
          </w:p>
          <w:p w14:paraId="7EF49360" w14:textId="77777777" w:rsidR="005B2D4F" w:rsidRDefault="005B2D4F" w:rsidP="00E904DF">
            <w:pPr>
              <w:rPr>
                <w:bCs/>
                <w:color w:val="auto"/>
              </w:rPr>
            </w:pPr>
            <w:r w:rsidRPr="005B2D4F">
              <w:rPr>
                <w:bCs/>
                <w:color w:val="auto"/>
              </w:rPr>
              <w:t>Childcare management during events/ meetings/ panels, application writing and preparation for panels.</w:t>
            </w:r>
          </w:p>
          <w:p w14:paraId="262272D0" w14:textId="67BB6F43" w:rsidR="005B2D4F" w:rsidRPr="007C4B67" w:rsidRDefault="005B2D4F" w:rsidP="00E904DF">
            <w:pPr>
              <w:rPr>
                <w:bCs/>
                <w:color w:val="auto"/>
              </w:rPr>
            </w:pPr>
          </w:p>
        </w:tc>
        <w:tc>
          <w:tcPr>
            <w:tcW w:w="4496" w:type="dxa"/>
          </w:tcPr>
          <w:p w14:paraId="44161BB8" w14:textId="77777777" w:rsidR="005B2D4F" w:rsidRPr="005B2D4F" w:rsidRDefault="005B2D4F" w:rsidP="005B2D4F">
            <w:pPr>
              <w:rPr>
                <w:color w:val="auto"/>
              </w:rPr>
            </w:pPr>
            <w:r w:rsidRPr="005B2D4F">
              <w:rPr>
                <w:color w:val="auto"/>
              </w:rPr>
              <w:t xml:space="preserve">Where possible events/ meetings/ panels are scheduled within the times of a normal working day and outside of school holidays, and time schedules at these events will be strictly adhered to.  </w:t>
            </w:r>
          </w:p>
          <w:p w14:paraId="1F3236AA" w14:textId="77777777" w:rsidR="005B2D4F" w:rsidRPr="005B2D4F" w:rsidRDefault="005B2D4F" w:rsidP="005B2D4F">
            <w:pPr>
              <w:rPr>
                <w:color w:val="auto"/>
              </w:rPr>
            </w:pPr>
          </w:p>
          <w:p w14:paraId="390D206F" w14:textId="5D523FED" w:rsidR="005B2D4F" w:rsidRPr="005B2D4F" w:rsidRDefault="005B2D4F" w:rsidP="005B2D4F">
            <w:pPr>
              <w:rPr>
                <w:color w:val="auto"/>
              </w:rPr>
            </w:pPr>
            <w:r w:rsidRPr="005B2D4F">
              <w:rPr>
                <w:color w:val="auto"/>
              </w:rPr>
              <w:lastRenderedPageBreak/>
              <w:t xml:space="preserve">Additionally, UKRI policy states that the cost of additional caring responsibilities while on BBSRC business can be reclaimed.  </w:t>
            </w:r>
          </w:p>
          <w:p w14:paraId="47A213D9" w14:textId="77777777" w:rsidR="005B2D4F" w:rsidRPr="005B2D4F" w:rsidRDefault="005B2D4F" w:rsidP="005B2D4F">
            <w:pPr>
              <w:rPr>
                <w:color w:val="auto"/>
              </w:rPr>
            </w:pPr>
          </w:p>
          <w:p w14:paraId="129B4EA9" w14:textId="0EFCEDFF" w:rsidR="00E904DF" w:rsidRPr="007C4B67" w:rsidRDefault="005B2D4F" w:rsidP="005B2D4F">
            <w:pPr>
              <w:rPr>
                <w:b/>
                <w:bCs/>
                <w:color w:val="auto"/>
              </w:rPr>
            </w:pPr>
            <w:r w:rsidRPr="005B2D4F">
              <w:rPr>
                <w:color w:val="auto"/>
              </w:rPr>
              <w:t>Within the confines of the budget spend requirements, the funding opportunity has been designed to allow the maximum possible time during each stage of the call (EOI and full proposal application windows and peer review panels). Whilst safeguarding robust and transparent peer review.</w:t>
            </w:r>
          </w:p>
        </w:tc>
      </w:tr>
      <w:tr w:rsidR="00E904DF" w:rsidRPr="007C4B67" w14:paraId="68CEEA75" w14:textId="77777777" w:rsidTr="27AF0736">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22AD0E2A" w:rsidR="00E904DF" w:rsidRPr="00E904DF" w:rsidRDefault="00657B3D"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4493CC9B" w14:textId="77777777" w:rsidR="00E904DF" w:rsidRDefault="004E1EAB" w:rsidP="00E904DF">
            <w:pPr>
              <w:rPr>
                <w:bCs/>
                <w:color w:val="auto"/>
              </w:rPr>
            </w:pPr>
            <w:r>
              <w:rPr>
                <w:bCs/>
                <w:color w:val="auto"/>
              </w:rPr>
              <w:t>Potential for negative impact</w:t>
            </w:r>
          </w:p>
          <w:p w14:paraId="79600F68" w14:textId="77777777" w:rsidR="0025565B" w:rsidRDefault="0025565B" w:rsidP="00E904DF">
            <w:pPr>
              <w:rPr>
                <w:bCs/>
                <w:color w:val="auto"/>
              </w:rPr>
            </w:pPr>
          </w:p>
          <w:p w14:paraId="49918E8E" w14:textId="2B1017A6" w:rsidR="0025565B" w:rsidRDefault="0025565B" w:rsidP="27AF0736">
            <w:pPr>
              <w:rPr>
                <w:color w:val="auto"/>
              </w:rPr>
            </w:pPr>
            <w:r w:rsidRPr="27AF0736">
              <w:rPr>
                <w:color w:val="auto"/>
              </w:rPr>
              <w:t>Ma</w:t>
            </w:r>
            <w:r w:rsidR="6DA1D021" w:rsidRPr="27AF0736">
              <w:rPr>
                <w:color w:val="auto"/>
              </w:rPr>
              <w:t>n</w:t>
            </w:r>
            <w:r w:rsidRPr="27AF0736">
              <w:rPr>
                <w:color w:val="auto"/>
              </w:rPr>
              <w:t>aging caring responsibilities during events/ meetings/ panels, application writing and preparation for panels.</w:t>
            </w:r>
          </w:p>
          <w:p w14:paraId="05838540" w14:textId="7016C5CF" w:rsidR="0025565B" w:rsidRPr="007C4B67" w:rsidRDefault="0025565B" w:rsidP="00E904DF">
            <w:pPr>
              <w:rPr>
                <w:bCs/>
                <w:color w:val="auto"/>
              </w:rPr>
            </w:pPr>
          </w:p>
        </w:tc>
        <w:tc>
          <w:tcPr>
            <w:tcW w:w="4496" w:type="dxa"/>
          </w:tcPr>
          <w:p w14:paraId="6EB796AC" w14:textId="77777777" w:rsidR="00B07390" w:rsidRPr="00B07390" w:rsidRDefault="00B07390" w:rsidP="00B07390">
            <w:pPr>
              <w:rPr>
                <w:bCs/>
                <w:color w:val="auto"/>
              </w:rPr>
            </w:pPr>
            <w:r w:rsidRPr="00B07390">
              <w:rPr>
                <w:bCs/>
                <w:color w:val="auto"/>
              </w:rPr>
              <w:t xml:space="preserve">UKRI policy states that the cost of additional caring responsibilities while on BBSRC business can be reclaimed.  </w:t>
            </w:r>
          </w:p>
          <w:p w14:paraId="1CB30C25" w14:textId="77777777" w:rsidR="00E904DF" w:rsidRDefault="00E904DF" w:rsidP="00E904DF">
            <w:pPr>
              <w:rPr>
                <w:bCs/>
                <w:color w:val="auto"/>
              </w:rPr>
            </w:pPr>
          </w:p>
          <w:p w14:paraId="219B95CF" w14:textId="187E4490" w:rsidR="00B07390" w:rsidRPr="007C4B67" w:rsidRDefault="00B07390" w:rsidP="00E904DF">
            <w:pPr>
              <w:rPr>
                <w:bCs/>
                <w:color w:val="auto"/>
              </w:rPr>
            </w:pPr>
            <w:r w:rsidRPr="00B07390">
              <w:rPr>
                <w:bCs/>
                <w:color w:val="auto"/>
              </w:rPr>
              <w:t>Within the confines of the budget spend requirements, the funding opportunity has been designed to allow the maximum possible time during each stage of the call (EOI and full proposal application windows and peer review panels). Whilst safeguarding robust and transparent peer review.</w:t>
            </w: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847"/>
        <w:gridCol w:w="8511"/>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6CDD97B5" w14:textId="54973535" w:rsidR="32DE02D3" w:rsidRDefault="00D136BB" w:rsidP="32DE02D3">
            <w:pPr>
              <w:rPr>
                <w:i/>
                <w:iCs/>
              </w:rPr>
            </w:pPr>
            <w:r>
              <w:t>In person events and meetings present as</w:t>
            </w:r>
            <w:r w:rsidR="0016287C">
              <w:t xml:space="preserve"> negative barriers for several groups. To mitigate this hybrid meetings will be an option. </w:t>
            </w:r>
          </w:p>
          <w:p w14:paraId="1FCE6132" w14:textId="77777777" w:rsidR="32DE02D3" w:rsidRDefault="32DE02D3" w:rsidP="32DE02D3">
            <w:pPr>
              <w:rPr>
                <w:i/>
                <w:iCs/>
              </w:rPr>
            </w:pPr>
          </w:p>
          <w:p w14:paraId="1E770C72" w14:textId="60B86DF5" w:rsidR="00515CA7" w:rsidRPr="00515CA7" w:rsidRDefault="00515CA7" w:rsidP="00515CA7">
            <w:pPr>
              <w:pStyle w:val="paragraph"/>
              <w:spacing w:before="0" w:beforeAutospacing="0" w:after="0" w:afterAutospacing="0"/>
              <w:textAlignment w:val="baseline"/>
              <w:rPr>
                <w:rFonts w:ascii="Arial" w:eastAsiaTheme="minorHAnsi" w:hAnsi="Arial" w:cstheme="minorBidi"/>
                <w:color w:val="595959"/>
                <w:lang w:eastAsia="en-US"/>
              </w:rPr>
            </w:pPr>
            <w:r w:rsidRPr="00515CA7">
              <w:rPr>
                <w:rFonts w:ascii="Arial" w:eastAsiaTheme="minorHAnsi" w:hAnsi="Arial" w:cstheme="minorBidi"/>
                <w:color w:val="595959"/>
                <w:lang w:eastAsia="en-US"/>
              </w:rPr>
              <w:t xml:space="preserve">Panel members are required to follow best practice in taking positive steps to safeguard funding </w:t>
            </w:r>
            <w:proofErr w:type="gramStart"/>
            <w:r w:rsidRPr="00515CA7">
              <w:rPr>
                <w:rFonts w:ascii="Arial" w:eastAsiaTheme="minorHAnsi" w:hAnsi="Arial" w:cstheme="minorBidi"/>
                <w:color w:val="595959"/>
                <w:lang w:eastAsia="en-US"/>
              </w:rPr>
              <w:t>decisions, and</w:t>
            </w:r>
            <w:proofErr w:type="gramEnd"/>
            <w:r w:rsidRPr="00515CA7">
              <w:rPr>
                <w:rFonts w:ascii="Arial" w:eastAsiaTheme="minorHAnsi" w:hAnsi="Arial" w:cstheme="minorBidi"/>
                <w:color w:val="595959"/>
                <w:lang w:eastAsia="en-US"/>
              </w:rPr>
              <w:t xml:space="preserve"> are reminded of the conditions that may lead to unconscious bias during each meeting. STFC/BBSRC staff presence during meetings acts as an additional assurance to ensure unbiased peer review. </w:t>
            </w:r>
          </w:p>
          <w:p w14:paraId="4CAF1008" w14:textId="74F89542" w:rsidR="32DE02D3" w:rsidRDefault="32DE02D3" w:rsidP="00515CA7">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36B64B65" w:rsidR="009A5E6A" w:rsidRPr="009A5E6A" w:rsidRDefault="00657B3D"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58710920" w:rsidR="009A5E6A" w:rsidRPr="00F83734" w:rsidRDefault="00621EBB" w:rsidP="009A5E6A">
            <w:pPr>
              <w:rPr>
                <w:bCs/>
              </w:rPr>
            </w:pPr>
            <w:r>
              <w:rPr>
                <w:bCs/>
              </w:rPr>
              <w:t>The activity has been</w:t>
            </w:r>
            <w:r w:rsidR="005F1BAA">
              <w:rPr>
                <w:bCs/>
              </w:rPr>
              <w:t xml:space="preserve"> a</w:t>
            </w:r>
            <w:r w:rsidR="00F83734">
              <w:rPr>
                <w:bCs/>
              </w:rPr>
              <w:t>dapt</w:t>
            </w:r>
            <w:r>
              <w:rPr>
                <w:bCs/>
              </w:rPr>
              <w:t>ed</w:t>
            </w:r>
            <w:r w:rsidR="00F83734">
              <w:rPr>
                <w:bCs/>
              </w:rPr>
              <w:t xml:space="preserve"> following </w:t>
            </w:r>
            <w:r w:rsidR="005F1BAA">
              <w:rPr>
                <w:bCs/>
              </w:rPr>
              <w:t xml:space="preserve">the </w:t>
            </w:r>
            <w:r w:rsidR="00F83734">
              <w:rPr>
                <w:bCs/>
              </w:rPr>
              <w:t>a</w:t>
            </w:r>
            <w:r w:rsidR="00F83734" w:rsidRPr="00F83734">
              <w:rPr>
                <w:bCs/>
              </w:rPr>
              <w:t xml:space="preserve">ctions described in </w:t>
            </w:r>
            <w:r w:rsidR="005F1BAA">
              <w:rPr>
                <w:bCs/>
              </w:rPr>
              <w:t xml:space="preserve">the </w:t>
            </w:r>
            <w:r w:rsidR="00F83734" w:rsidRPr="00F83734">
              <w:rPr>
                <w:bCs/>
              </w:rPr>
              <w:t>previous section.</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8"/>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7F72D191" w14:textId="77777777" w:rsidR="00C135AA" w:rsidRPr="00C135AA" w:rsidRDefault="00C135AA" w:rsidP="00C135AA">
            <w:r w:rsidRPr="00C135AA">
              <w:t xml:space="preserve">An independent evaluation of the initiative may be commissioned after all awards are completed. </w:t>
            </w:r>
          </w:p>
          <w:p w14:paraId="72DE9824" w14:textId="77777777" w:rsidR="00C135AA" w:rsidRPr="00C135AA" w:rsidRDefault="00C135AA" w:rsidP="00C135AA"/>
          <w:p w14:paraId="224F01DD" w14:textId="13AEB0A0" w:rsidR="00CD32EF" w:rsidRPr="00CD32EF" w:rsidRDefault="00C135AA" w:rsidP="00C135AA">
            <w:r w:rsidRPr="00C135AA">
              <w:t>The protected characteristics voluntarily submitted by applicants during the submission process will be monitored.</w:t>
            </w: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CD32EF" w:rsidRDefault="00CD32EF" w:rsidP="00CD32EF">
            <w:pPr>
              <w:rPr>
                <w:bCs/>
                <w:i/>
                <w:i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7AF0736">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5896FD94" w:rsidR="008A1D09" w:rsidRPr="008A1D09" w:rsidRDefault="008A1D09" w:rsidP="008A1D09">
            <w:pPr>
              <w:rPr>
                <w:bCs/>
              </w:rPr>
            </w:pPr>
            <w:r w:rsidRPr="008A1D09">
              <w:rPr>
                <w:bCs/>
              </w:rPr>
              <w:t>Yes</w:t>
            </w:r>
          </w:p>
          <w:p w14:paraId="6916AE83" w14:textId="77777777" w:rsidR="008A1D09" w:rsidRPr="008A1D09" w:rsidRDefault="008A1D09" w:rsidP="008A1D09">
            <w:pPr>
              <w:rPr>
                <w:bCs/>
              </w:rPr>
            </w:pPr>
          </w:p>
          <w:p w14:paraId="2631B7BA" w14:textId="02A41CDA" w:rsidR="008A1D09" w:rsidRPr="008A1D09" w:rsidRDefault="008A1D09" w:rsidP="008A1D09">
            <w:r w:rsidRPr="008A1D09">
              <w:t xml:space="preserve"> </w:t>
            </w:r>
          </w:p>
          <w:p w14:paraId="5C620FC5" w14:textId="77777777" w:rsidR="008A1D09" w:rsidRPr="008A1D09" w:rsidRDefault="008A1D09" w:rsidP="008A1D09">
            <w:pPr>
              <w:rPr>
                <w:bCs/>
              </w:rPr>
            </w:pPr>
          </w:p>
        </w:tc>
      </w:tr>
      <w:tr w:rsidR="008A1D09" w:rsidRPr="008A1D09" w14:paraId="7FFBF3FA" w14:textId="77777777" w:rsidTr="27AF0736">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28F1098A" w:rsidR="008A1D09" w:rsidRPr="008A1D09" w:rsidRDefault="00762B05" w:rsidP="00762B05">
            <w:pPr>
              <w:rPr>
                <w:bCs/>
              </w:rPr>
            </w:pPr>
            <w:r>
              <w:t>Business.Unit@bbsrc.ukri.org</w:t>
            </w:r>
          </w:p>
        </w:tc>
      </w:tr>
      <w:tr w:rsidR="008A1D09" w:rsidRPr="008A1D09" w14:paraId="40BBFF79" w14:textId="77777777" w:rsidTr="27AF0736">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0EFDC542" w:rsidR="008A1D09" w:rsidRPr="008A1D09" w:rsidRDefault="7460B836" w:rsidP="008A1D09">
            <w:r w:rsidRPr="27AF0736">
              <w:rPr>
                <w:rFonts w:asciiTheme="minorHAnsi" w:eastAsiaTheme="minorEastAsia" w:hAnsiTheme="minorHAnsi"/>
                <w:color w:val="595959" w:themeColor="text1" w:themeTint="A6"/>
                <w:sz w:val="24"/>
                <w:szCs w:val="24"/>
              </w:rPr>
              <w:t>Kaustav Dey, 17/3/25</w:t>
            </w:r>
          </w:p>
        </w:tc>
      </w:tr>
    </w:tbl>
    <w:p w14:paraId="77F818F1" w14:textId="77777777" w:rsidR="00CD32EF" w:rsidRDefault="00CD32EF" w:rsidP="007C366B"/>
    <w:p w14:paraId="19F30806" w14:textId="77777777" w:rsidR="00F7030A" w:rsidRDefault="00F7030A" w:rsidP="007C366B"/>
    <w:p w14:paraId="370B1F03" w14:textId="21F8A875" w:rsidR="008A1D09" w:rsidRDefault="00A327BC" w:rsidP="00A327BC">
      <w:pPr>
        <w:pStyle w:val="Heading2"/>
      </w:pPr>
      <w:bookmarkStart w:id="9" w:name="_Toc126841212"/>
      <w:r>
        <w:t>Change log</w:t>
      </w:r>
      <w:bookmarkEnd w:id="9"/>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467A653B" w:rsidR="00A327BC" w:rsidRPr="003C013C" w:rsidRDefault="00A327BC" w:rsidP="00823025">
            <w:pPr>
              <w:rPr>
                <w:rFonts w:cs="Arial"/>
                <w:color w:val="000000" w:themeColor="text1"/>
              </w:rPr>
            </w:pPr>
          </w:p>
        </w:tc>
        <w:tc>
          <w:tcPr>
            <w:tcW w:w="3161" w:type="pct"/>
          </w:tcPr>
          <w:p w14:paraId="7ECA82D3" w14:textId="0275DCBD" w:rsidR="00A327BC" w:rsidRPr="006141A9" w:rsidRDefault="006A15CF" w:rsidP="00823025">
            <w:pPr>
              <w:rPr>
                <w:rFonts w:cs="Arial"/>
                <w:color w:val="595959" w:themeColor="text1" w:themeTint="A6"/>
              </w:rPr>
            </w:pPr>
            <w:r w:rsidRPr="006141A9">
              <w:rPr>
                <w:rFonts w:cs="Arial"/>
                <w:color w:val="595959" w:themeColor="text1" w:themeTint="A6"/>
              </w:rPr>
              <w:t xml:space="preserve"> </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C9C8" w14:textId="77777777" w:rsidR="00FD1FD7" w:rsidRDefault="00FD1FD7" w:rsidP="001F62C7">
      <w:r>
        <w:separator/>
      </w:r>
    </w:p>
  </w:endnote>
  <w:endnote w:type="continuationSeparator" w:id="0">
    <w:p w14:paraId="2D84948E" w14:textId="77777777" w:rsidR="00FD1FD7" w:rsidRDefault="00FD1FD7" w:rsidP="001F62C7">
      <w:r>
        <w:continuationSeparator/>
      </w:r>
    </w:p>
  </w:endnote>
  <w:endnote w:type="continuationNotice" w:id="1">
    <w:p w14:paraId="0DD465AB" w14:textId="77777777" w:rsidR="00FD1FD7" w:rsidRDefault="00FD1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573E46"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74D1" w14:textId="77777777" w:rsidR="00FD1FD7" w:rsidRDefault="00FD1FD7" w:rsidP="001F62C7">
      <w:r>
        <w:separator/>
      </w:r>
    </w:p>
  </w:footnote>
  <w:footnote w:type="continuationSeparator" w:id="0">
    <w:p w14:paraId="47518580" w14:textId="77777777" w:rsidR="00FD1FD7" w:rsidRDefault="00FD1FD7" w:rsidP="001F62C7">
      <w:r>
        <w:continuationSeparator/>
      </w:r>
    </w:p>
  </w:footnote>
  <w:footnote w:type="continuationNotice" w:id="1">
    <w:p w14:paraId="1FA675B6" w14:textId="77777777" w:rsidR="00FD1FD7" w:rsidRDefault="00FD1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5"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6"/>
  </w:num>
  <w:num w:numId="2" w16cid:durableId="1233352261">
    <w:abstractNumId w:val="28"/>
  </w:num>
  <w:num w:numId="3" w16cid:durableId="1498153067">
    <w:abstractNumId w:val="27"/>
  </w:num>
  <w:num w:numId="4" w16cid:durableId="1864858693">
    <w:abstractNumId w:val="18"/>
  </w:num>
  <w:num w:numId="5" w16cid:durableId="1257593104">
    <w:abstractNumId w:val="4"/>
  </w:num>
  <w:num w:numId="6" w16cid:durableId="1740906995">
    <w:abstractNumId w:val="20"/>
  </w:num>
  <w:num w:numId="7" w16cid:durableId="1142964855">
    <w:abstractNumId w:val="21"/>
  </w:num>
  <w:num w:numId="8" w16cid:durableId="1783718424">
    <w:abstractNumId w:val="10"/>
  </w:num>
  <w:num w:numId="9" w16cid:durableId="1961525059">
    <w:abstractNumId w:val="5"/>
  </w:num>
  <w:num w:numId="10" w16cid:durableId="1588004861">
    <w:abstractNumId w:val="12"/>
  </w:num>
  <w:num w:numId="11" w16cid:durableId="1802116982">
    <w:abstractNumId w:val="1"/>
  </w:num>
  <w:num w:numId="12" w16cid:durableId="1697266660">
    <w:abstractNumId w:val="6"/>
  </w:num>
  <w:num w:numId="13" w16cid:durableId="1812675381">
    <w:abstractNumId w:val="22"/>
  </w:num>
  <w:num w:numId="14" w16cid:durableId="1231500762">
    <w:abstractNumId w:val="7"/>
  </w:num>
  <w:num w:numId="15" w16cid:durableId="1329283788">
    <w:abstractNumId w:val="17"/>
  </w:num>
  <w:num w:numId="16" w16cid:durableId="1436631320">
    <w:abstractNumId w:val="3"/>
  </w:num>
  <w:num w:numId="17" w16cid:durableId="24256471">
    <w:abstractNumId w:val="26"/>
  </w:num>
  <w:num w:numId="18" w16cid:durableId="49616346">
    <w:abstractNumId w:val="11"/>
  </w:num>
  <w:num w:numId="19" w16cid:durableId="2072649859">
    <w:abstractNumId w:val="15"/>
  </w:num>
  <w:num w:numId="20" w16cid:durableId="84036576">
    <w:abstractNumId w:val="14"/>
  </w:num>
  <w:num w:numId="21" w16cid:durableId="1074283147">
    <w:abstractNumId w:val="2"/>
  </w:num>
  <w:num w:numId="22" w16cid:durableId="1205562755">
    <w:abstractNumId w:val="9"/>
  </w:num>
  <w:num w:numId="23" w16cid:durableId="1870099735">
    <w:abstractNumId w:val="19"/>
  </w:num>
  <w:num w:numId="24" w16cid:durableId="91585365">
    <w:abstractNumId w:val="13"/>
  </w:num>
  <w:num w:numId="25" w16cid:durableId="476261141">
    <w:abstractNumId w:val="24"/>
  </w:num>
  <w:num w:numId="26" w16cid:durableId="2017152041">
    <w:abstractNumId w:val="25"/>
  </w:num>
  <w:num w:numId="27" w16cid:durableId="437915329">
    <w:abstractNumId w:val="0"/>
  </w:num>
  <w:num w:numId="28" w16cid:durableId="534387910">
    <w:abstractNumId w:val="8"/>
  </w:num>
  <w:num w:numId="29" w16cid:durableId="772630319">
    <w:abstractNumId w:val="23"/>
  </w:num>
  <w:num w:numId="30" w16cid:durableId="5915474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BC3"/>
    <w:rsid w:val="00015892"/>
    <w:rsid w:val="00017BB8"/>
    <w:rsid w:val="00020E24"/>
    <w:rsid w:val="00022608"/>
    <w:rsid w:val="0002469E"/>
    <w:rsid w:val="00027E5D"/>
    <w:rsid w:val="000324F2"/>
    <w:rsid w:val="00032705"/>
    <w:rsid w:val="00045115"/>
    <w:rsid w:val="00046F3D"/>
    <w:rsid w:val="000503E4"/>
    <w:rsid w:val="00050BF5"/>
    <w:rsid w:val="000515FD"/>
    <w:rsid w:val="00051A18"/>
    <w:rsid w:val="00066C99"/>
    <w:rsid w:val="000704E7"/>
    <w:rsid w:val="0007194F"/>
    <w:rsid w:val="0007250B"/>
    <w:rsid w:val="00072A45"/>
    <w:rsid w:val="00073F8F"/>
    <w:rsid w:val="00080550"/>
    <w:rsid w:val="00083CC0"/>
    <w:rsid w:val="000858E1"/>
    <w:rsid w:val="00097757"/>
    <w:rsid w:val="000A0D2D"/>
    <w:rsid w:val="000A6221"/>
    <w:rsid w:val="000B1F3C"/>
    <w:rsid w:val="000B2FD9"/>
    <w:rsid w:val="000B5163"/>
    <w:rsid w:val="000C693C"/>
    <w:rsid w:val="000C6B0E"/>
    <w:rsid w:val="000D0B9C"/>
    <w:rsid w:val="000D0DD2"/>
    <w:rsid w:val="000D3769"/>
    <w:rsid w:val="000D42B6"/>
    <w:rsid w:val="000E0221"/>
    <w:rsid w:val="000E0852"/>
    <w:rsid w:val="000E355A"/>
    <w:rsid w:val="000E7274"/>
    <w:rsid w:val="000F492E"/>
    <w:rsid w:val="000F4DF2"/>
    <w:rsid w:val="000F6E23"/>
    <w:rsid w:val="000F772F"/>
    <w:rsid w:val="0010262F"/>
    <w:rsid w:val="0010633F"/>
    <w:rsid w:val="0011641B"/>
    <w:rsid w:val="00117981"/>
    <w:rsid w:val="00117A48"/>
    <w:rsid w:val="001203E0"/>
    <w:rsid w:val="0013632F"/>
    <w:rsid w:val="00145861"/>
    <w:rsid w:val="00145F3E"/>
    <w:rsid w:val="00147D1C"/>
    <w:rsid w:val="00147D57"/>
    <w:rsid w:val="00153C0C"/>
    <w:rsid w:val="00157DDA"/>
    <w:rsid w:val="00157EE4"/>
    <w:rsid w:val="0016053A"/>
    <w:rsid w:val="00160AE4"/>
    <w:rsid w:val="00160F2E"/>
    <w:rsid w:val="0016287C"/>
    <w:rsid w:val="00167266"/>
    <w:rsid w:val="0016740B"/>
    <w:rsid w:val="0016753E"/>
    <w:rsid w:val="00172649"/>
    <w:rsid w:val="00175377"/>
    <w:rsid w:val="00177E62"/>
    <w:rsid w:val="00184CF9"/>
    <w:rsid w:val="001873CD"/>
    <w:rsid w:val="001909DA"/>
    <w:rsid w:val="00191A47"/>
    <w:rsid w:val="00196868"/>
    <w:rsid w:val="001A2C2D"/>
    <w:rsid w:val="001A6FE6"/>
    <w:rsid w:val="001B1487"/>
    <w:rsid w:val="001B69FB"/>
    <w:rsid w:val="001C0266"/>
    <w:rsid w:val="001C12F8"/>
    <w:rsid w:val="001C1528"/>
    <w:rsid w:val="001C3882"/>
    <w:rsid w:val="001D4906"/>
    <w:rsid w:val="001F071C"/>
    <w:rsid w:val="001F1337"/>
    <w:rsid w:val="001F62C7"/>
    <w:rsid w:val="00204002"/>
    <w:rsid w:val="00204928"/>
    <w:rsid w:val="00205539"/>
    <w:rsid w:val="00205A3B"/>
    <w:rsid w:val="00221D0E"/>
    <w:rsid w:val="00222AE0"/>
    <w:rsid w:val="00223B75"/>
    <w:rsid w:val="0022428B"/>
    <w:rsid w:val="0022472B"/>
    <w:rsid w:val="002268A6"/>
    <w:rsid w:val="0024011F"/>
    <w:rsid w:val="00243731"/>
    <w:rsid w:val="00245F1C"/>
    <w:rsid w:val="0025565B"/>
    <w:rsid w:val="00255DAD"/>
    <w:rsid w:val="00256C52"/>
    <w:rsid w:val="002645B9"/>
    <w:rsid w:val="00265049"/>
    <w:rsid w:val="00270EFB"/>
    <w:rsid w:val="00271AE8"/>
    <w:rsid w:val="002742A9"/>
    <w:rsid w:val="002803CC"/>
    <w:rsid w:val="00281130"/>
    <w:rsid w:val="00286414"/>
    <w:rsid w:val="00291F09"/>
    <w:rsid w:val="002954F3"/>
    <w:rsid w:val="0029568A"/>
    <w:rsid w:val="002A0A35"/>
    <w:rsid w:val="002A1179"/>
    <w:rsid w:val="002A4918"/>
    <w:rsid w:val="002A4B7B"/>
    <w:rsid w:val="002A677D"/>
    <w:rsid w:val="002A6AB5"/>
    <w:rsid w:val="002B3AE8"/>
    <w:rsid w:val="002B75EC"/>
    <w:rsid w:val="002D4671"/>
    <w:rsid w:val="002E0B23"/>
    <w:rsid w:val="002E208A"/>
    <w:rsid w:val="002E40B6"/>
    <w:rsid w:val="002E71FE"/>
    <w:rsid w:val="003024E3"/>
    <w:rsid w:val="00311C8F"/>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73A2"/>
    <w:rsid w:val="00386A2D"/>
    <w:rsid w:val="00393857"/>
    <w:rsid w:val="0039499A"/>
    <w:rsid w:val="003A451F"/>
    <w:rsid w:val="003A6AEF"/>
    <w:rsid w:val="003B4504"/>
    <w:rsid w:val="003B4811"/>
    <w:rsid w:val="003C6C06"/>
    <w:rsid w:val="003C7440"/>
    <w:rsid w:val="003D1233"/>
    <w:rsid w:val="003D5815"/>
    <w:rsid w:val="003E2FA2"/>
    <w:rsid w:val="003E66D2"/>
    <w:rsid w:val="003E6CCA"/>
    <w:rsid w:val="003F65AA"/>
    <w:rsid w:val="00403896"/>
    <w:rsid w:val="00403B73"/>
    <w:rsid w:val="004120CF"/>
    <w:rsid w:val="0041753F"/>
    <w:rsid w:val="00417581"/>
    <w:rsid w:val="00417D53"/>
    <w:rsid w:val="004216C0"/>
    <w:rsid w:val="0044126B"/>
    <w:rsid w:val="00443642"/>
    <w:rsid w:val="00443CEC"/>
    <w:rsid w:val="00444933"/>
    <w:rsid w:val="00454760"/>
    <w:rsid w:val="0045533B"/>
    <w:rsid w:val="0045539A"/>
    <w:rsid w:val="004614FA"/>
    <w:rsid w:val="00464FE4"/>
    <w:rsid w:val="00465265"/>
    <w:rsid w:val="004654D4"/>
    <w:rsid w:val="0046653F"/>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E0F63"/>
    <w:rsid w:val="004E1EAB"/>
    <w:rsid w:val="004E69F3"/>
    <w:rsid w:val="004F2C29"/>
    <w:rsid w:val="004F733A"/>
    <w:rsid w:val="005028DA"/>
    <w:rsid w:val="00504021"/>
    <w:rsid w:val="00507DA2"/>
    <w:rsid w:val="00510779"/>
    <w:rsid w:val="00512F2D"/>
    <w:rsid w:val="00514B6E"/>
    <w:rsid w:val="00515CA7"/>
    <w:rsid w:val="005254D7"/>
    <w:rsid w:val="005275A7"/>
    <w:rsid w:val="005276ED"/>
    <w:rsid w:val="00535CFF"/>
    <w:rsid w:val="00537533"/>
    <w:rsid w:val="0054026A"/>
    <w:rsid w:val="00541443"/>
    <w:rsid w:val="005425C4"/>
    <w:rsid w:val="00551A73"/>
    <w:rsid w:val="005560C6"/>
    <w:rsid w:val="00557395"/>
    <w:rsid w:val="00557BB2"/>
    <w:rsid w:val="00560CA0"/>
    <w:rsid w:val="005613B2"/>
    <w:rsid w:val="00570148"/>
    <w:rsid w:val="00571230"/>
    <w:rsid w:val="00573E46"/>
    <w:rsid w:val="00576514"/>
    <w:rsid w:val="0058189B"/>
    <w:rsid w:val="00583F6E"/>
    <w:rsid w:val="0058602B"/>
    <w:rsid w:val="005862CB"/>
    <w:rsid w:val="00593D7E"/>
    <w:rsid w:val="00594071"/>
    <w:rsid w:val="005A5F14"/>
    <w:rsid w:val="005B2D4F"/>
    <w:rsid w:val="005B47F8"/>
    <w:rsid w:val="005B5ADA"/>
    <w:rsid w:val="005B6B88"/>
    <w:rsid w:val="005C136F"/>
    <w:rsid w:val="005C3905"/>
    <w:rsid w:val="005C5254"/>
    <w:rsid w:val="005C6A7A"/>
    <w:rsid w:val="005D011D"/>
    <w:rsid w:val="005D23BF"/>
    <w:rsid w:val="005D41CB"/>
    <w:rsid w:val="005D5760"/>
    <w:rsid w:val="005E667E"/>
    <w:rsid w:val="005F105F"/>
    <w:rsid w:val="005F1BAA"/>
    <w:rsid w:val="005F1F85"/>
    <w:rsid w:val="005F39F3"/>
    <w:rsid w:val="005F6B77"/>
    <w:rsid w:val="00600415"/>
    <w:rsid w:val="00600688"/>
    <w:rsid w:val="00606EA0"/>
    <w:rsid w:val="0060784B"/>
    <w:rsid w:val="00611994"/>
    <w:rsid w:val="00611A10"/>
    <w:rsid w:val="0061372D"/>
    <w:rsid w:val="006141A9"/>
    <w:rsid w:val="00621EBB"/>
    <w:rsid w:val="006220C1"/>
    <w:rsid w:val="00623942"/>
    <w:rsid w:val="00623DB3"/>
    <w:rsid w:val="006249E8"/>
    <w:rsid w:val="00625322"/>
    <w:rsid w:val="00627F46"/>
    <w:rsid w:val="006317C0"/>
    <w:rsid w:val="00632AC0"/>
    <w:rsid w:val="0063316D"/>
    <w:rsid w:val="006358A7"/>
    <w:rsid w:val="0064295B"/>
    <w:rsid w:val="006430D3"/>
    <w:rsid w:val="00657B3D"/>
    <w:rsid w:val="006653E8"/>
    <w:rsid w:val="006708AE"/>
    <w:rsid w:val="00681E05"/>
    <w:rsid w:val="00694BAD"/>
    <w:rsid w:val="006977EF"/>
    <w:rsid w:val="006A15CF"/>
    <w:rsid w:val="006A6FE8"/>
    <w:rsid w:val="006B1684"/>
    <w:rsid w:val="006B6975"/>
    <w:rsid w:val="006C3DA1"/>
    <w:rsid w:val="006D03FA"/>
    <w:rsid w:val="006D2520"/>
    <w:rsid w:val="006F16C9"/>
    <w:rsid w:val="006F2634"/>
    <w:rsid w:val="006F5AF8"/>
    <w:rsid w:val="00700404"/>
    <w:rsid w:val="007016CD"/>
    <w:rsid w:val="00712D10"/>
    <w:rsid w:val="00717EAF"/>
    <w:rsid w:val="00722563"/>
    <w:rsid w:val="0072547E"/>
    <w:rsid w:val="0072698E"/>
    <w:rsid w:val="00726B57"/>
    <w:rsid w:val="007349BB"/>
    <w:rsid w:val="00735627"/>
    <w:rsid w:val="00735EA4"/>
    <w:rsid w:val="00745491"/>
    <w:rsid w:val="00747DA7"/>
    <w:rsid w:val="007547A1"/>
    <w:rsid w:val="00756177"/>
    <w:rsid w:val="00762B05"/>
    <w:rsid w:val="00763431"/>
    <w:rsid w:val="00764DD6"/>
    <w:rsid w:val="00767989"/>
    <w:rsid w:val="007723B9"/>
    <w:rsid w:val="007730DA"/>
    <w:rsid w:val="00782F42"/>
    <w:rsid w:val="00792240"/>
    <w:rsid w:val="00794187"/>
    <w:rsid w:val="00797FB3"/>
    <w:rsid w:val="007A2B49"/>
    <w:rsid w:val="007A3DBC"/>
    <w:rsid w:val="007A49BD"/>
    <w:rsid w:val="007B45A5"/>
    <w:rsid w:val="007B6C8A"/>
    <w:rsid w:val="007C34DC"/>
    <w:rsid w:val="007C366B"/>
    <w:rsid w:val="007C3B90"/>
    <w:rsid w:val="007C49C7"/>
    <w:rsid w:val="007C4B67"/>
    <w:rsid w:val="007C5183"/>
    <w:rsid w:val="007C786B"/>
    <w:rsid w:val="007C7B1B"/>
    <w:rsid w:val="007D617A"/>
    <w:rsid w:val="007D72ED"/>
    <w:rsid w:val="007E2393"/>
    <w:rsid w:val="007E57FF"/>
    <w:rsid w:val="007F6BEC"/>
    <w:rsid w:val="008015FC"/>
    <w:rsid w:val="00801CB4"/>
    <w:rsid w:val="00802761"/>
    <w:rsid w:val="00802E1D"/>
    <w:rsid w:val="00805FC4"/>
    <w:rsid w:val="00810D83"/>
    <w:rsid w:val="00816D49"/>
    <w:rsid w:val="00823025"/>
    <w:rsid w:val="0082570C"/>
    <w:rsid w:val="008318EE"/>
    <w:rsid w:val="00840F8E"/>
    <w:rsid w:val="008479DB"/>
    <w:rsid w:val="008506BC"/>
    <w:rsid w:val="008518F0"/>
    <w:rsid w:val="008520F6"/>
    <w:rsid w:val="0085245C"/>
    <w:rsid w:val="00861753"/>
    <w:rsid w:val="00871251"/>
    <w:rsid w:val="00871C18"/>
    <w:rsid w:val="00871C4D"/>
    <w:rsid w:val="00877DAB"/>
    <w:rsid w:val="00880F6F"/>
    <w:rsid w:val="0088139B"/>
    <w:rsid w:val="00881C0D"/>
    <w:rsid w:val="008879EC"/>
    <w:rsid w:val="00890D1C"/>
    <w:rsid w:val="00890D76"/>
    <w:rsid w:val="008960FD"/>
    <w:rsid w:val="008A0174"/>
    <w:rsid w:val="008A1D09"/>
    <w:rsid w:val="008B1666"/>
    <w:rsid w:val="008B6482"/>
    <w:rsid w:val="008C5EC0"/>
    <w:rsid w:val="008D63DC"/>
    <w:rsid w:val="008E08C3"/>
    <w:rsid w:val="008E2108"/>
    <w:rsid w:val="008E3656"/>
    <w:rsid w:val="008E3B5B"/>
    <w:rsid w:val="008F1E25"/>
    <w:rsid w:val="008F712A"/>
    <w:rsid w:val="009033A8"/>
    <w:rsid w:val="009035F1"/>
    <w:rsid w:val="00917A23"/>
    <w:rsid w:val="00917B28"/>
    <w:rsid w:val="00917BB5"/>
    <w:rsid w:val="0092130F"/>
    <w:rsid w:val="00926C3E"/>
    <w:rsid w:val="00934EEC"/>
    <w:rsid w:val="00935103"/>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2CBF"/>
    <w:rsid w:val="00996E0A"/>
    <w:rsid w:val="00996FA7"/>
    <w:rsid w:val="00997099"/>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E0617"/>
    <w:rsid w:val="009E07B1"/>
    <w:rsid w:val="009E135F"/>
    <w:rsid w:val="009E7A90"/>
    <w:rsid w:val="00A068E1"/>
    <w:rsid w:val="00A10000"/>
    <w:rsid w:val="00A114E4"/>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4840"/>
    <w:rsid w:val="00AC6E64"/>
    <w:rsid w:val="00AD423C"/>
    <w:rsid w:val="00AD71EF"/>
    <w:rsid w:val="00AE2C3F"/>
    <w:rsid w:val="00B04880"/>
    <w:rsid w:val="00B054D1"/>
    <w:rsid w:val="00B05659"/>
    <w:rsid w:val="00B062EA"/>
    <w:rsid w:val="00B06671"/>
    <w:rsid w:val="00B07390"/>
    <w:rsid w:val="00B107D1"/>
    <w:rsid w:val="00B12B57"/>
    <w:rsid w:val="00B16849"/>
    <w:rsid w:val="00B2609F"/>
    <w:rsid w:val="00B32541"/>
    <w:rsid w:val="00B32C21"/>
    <w:rsid w:val="00B435F3"/>
    <w:rsid w:val="00B442D5"/>
    <w:rsid w:val="00B465F8"/>
    <w:rsid w:val="00B55BD6"/>
    <w:rsid w:val="00B567AC"/>
    <w:rsid w:val="00B70661"/>
    <w:rsid w:val="00B71B1F"/>
    <w:rsid w:val="00B75311"/>
    <w:rsid w:val="00B7755E"/>
    <w:rsid w:val="00B81359"/>
    <w:rsid w:val="00B87A8D"/>
    <w:rsid w:val="00B90D95"/>
    <w:rsid w:val="00B925E0"/>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C00C28"/>
    <w:rsid w:val="00C055CA"/>
    <w:rsid w:val="00C06282"/>
    <w:rsid w:val="00C062D6"/>
    <w:rsid w:val="00C066C1"/>
    <w:rsid w:val="00C13536"/>
    <w:rsid w:val="00C135AA"/>
    <w:rsid w:val="00C3198C"/>
    <w:rsid w:val="00C32B82"/>
    <w:rsid w:val="00C34CF7"/>
    <w:rsid w:val="00C36290"/>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923DA"/>
    <w:rsid w:val="00C97B79"/>
    <w:rsid w:val="00C97CE3"/>
    <w:rsid w:val="00CA4892"/>
    <w:rsid w:val="00CA555C"/>
    <w:rsid w:val="00CB04B6"/>
    <w:rsid w:val="00CB1A6C"/>
    <w:rsid w:val="00CC526D"/>
    <w:rsid w:val="00CD0BCF"/>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10C0E"/>
    <w:rsid w:val="00D11798"/>
    <w:rsid w:val="00D12A1F"/>
    <w:rsid w:val="00D12D19"/>
    <w:rsid w:val="00D136BB"/>
    <w:rsid w:val="00D30E95"/>
    <w:rsid w:val="00D478E6"/>
    <w:rsid w:val="00D5192C"/>
    <w:rsid w:val="00D5218F"/>
    <w:rsid w:val="00D53738"/>
    <w:rsid w:val="00D55DAA"/>
    <w:rsid w:val="00D578E5"/>
    <w:rsid w:val="00D57C4E"/>
    <w:rsid w:val="00D64354"/>
    <w:rsid w:val="00D67489"/>
    <w:rsid w:val="00D90E24"/>
    <w:rsid w:val="00D91935"/>
    <w:rsid w:val="00D9277B"/>
    <w:rsid w:val="00D93AEB"/>
    <w:rsid w:val="00D95F53"/>
    <w:rsid w:val="00DA50AB"/>
    <w:rsid w:val="00DC071E"/>
    <w:rsid w:val="00DC3BC5"/>
    <w:rsid w:val="00DD2500"/>
    <w:rsid w:val="00DD2BA6"/>
    <w:rsid w:val="00DD5E59"/>
    <w:rsid w:val="00DD7248"/>
    <w:rsid w:val="00DE069B"/>
    <w:rsid w:val="00DE2085"/>
    <w:rsid w:val="00DE2D4A"/>
    <w:rsid w:val="00DE6BC3"/>
    <w:rsid w:val="00DE6DA3"/>
    <w:rsid w:val="00DF04C3"/>
    <w:rsid w:val="00DF2F23"/>
    <w:rsid w:val="00DF53AC"/>
    <w:rsid w:val="00E0329C"/>
    <w:rsid w:val="00E03F66"/>
    <w:rsid w:val="00E04370"/>
    <w:rsid w:val="00E12DE3"/>
    <w:rsid w:val="00E1475E"/>
    <w:rsid w:val="00E14BF6"/>
    <w:rsid w:val="00E1644D"/>
    <w:rsid w:val="00E25950"/>
    <w:rsid w:val="00E322A8"/>
    <w:rsid w:val="00E332A0"/>
    <w:rsid w:val="00E36315"/>
    <w:rsid w:val="00E4691C"/>
    <w:rsid w:val="00E51111"/>
    <w:rsid w:val="00E5595D"/>
    <w:rsid w:val="00E56CE8"/>
    <w:rsid w:val="00E60D27"/>
    <w:rsid w:val="00E66F39"/>
    <w:rsid w:val="00E7682A"/>
    <w:rsid w:val="00E86422"/>
    <w:rsid w:val="00E904DF"/>
    <w:rsid w:val="00EA00B1"/>
    <w:rsid w:val="00EA0987"/>
    <w:rsid w:val="00EA0B23"/>
    <w:rsid w:val="00EC1E58"/>
    <w:rsid w:val="00EC1FD6"/>
    <w:rsid w:val="00EC32EC"/>
    <w:rsid w:val="00EC4CF5"/>
    <w:rsid w:val="00EC4DDD"/>
    <w:rsid w:val="00ED7525"/>
    <w:rsid w:val="00EE124D"/>
    <w:rsid w:val="00F063C2"/>
    <w:rsid w:val="00F100C8"/>
    <w:rsid w:val="00F105AB"/>
    <w:rsid w:val="00F14C9D"/>
    <w:rsid w:val="00F16013"/>
    <w:rsid w:val="00F1737B"/>
    <w:rsid w:val="00F17384"/>
    <w:rsid w:val="00F1794B"/>
    <w:rsid w:val="00F21B4A"/>
    <w:rsid w:val="00F24739"/>
    <w:rsid w:val="00F33B64"/>
    <w:rsid w:val="00F36BEA"/>
    <w:rsid w:val="00F370FA"/>
    <w:rsid w:val="00F50A94"/>
    <w:rsid w:val="00F53530"/>
    <w:rsid w:val="00F56CE9"/>
    <w:rsid w:val="00F62CDD"/>
    <w:rsid w:val="00F63338"/>
    <w:rsid w:val="00F639CE"/>
    <w:rsid w:val="00F64DD8"/>
    <w:rsid w:val="00F64EE3"/>
    <w:rsid w:val="00F7030A"/>
    <w:rsid w:val="00F76A4F"/>
    <w:rsid w:val="00F8100B"/>
    <w:rsid w:val="00F81AB0"/>
    <w:rsid w:val="00F83440"/>
    <w:rsid w:val="00F83734"/>
    <w:rsid w:val="00F850D3"/>
    <w:rsid w:val="00FA0DDA"/>
    <w:rsid w:val="00FA2BE1"/>
    <w:rsid w:val="00FA5553"/>
    <w:rsid w:val="00FB067C"/>
    <w:rsid w:val="00FB2C12"/>
    <w:rsid w:val="00FB3CA5"/>
    <w:rsid w:val="00FB441B"/>
    <w:rsid w:val="00FB52E4"/>
    <w:rsid w:val="00FB58D0"/>
    <w:rsid w:val="00FC1A74"/>
    <w:rsid w:val="00FD1FD7"/>
    <w:rsid w:val="00FD3173"/>
    <w:rsid w:val="00FD634C"/>
    <w:rsid w:val="00FD67CB"/>
    <w:rsid w:val="00FE05B2"/>
    <w:rsid w:val="00FE4BC7"/>
    <w:rsid w:val="00FF026D"/>
    <w:rsid w:val="00FF2666"/>
    <w:rsid w:val="00FF5C64"/>
    <w:rsid w:val="00FF6147"/>
    <w:rsid w:val="01EDA445"/>
    <w:rsid w:val="0217B2FA"/>
    <w:rsid w:val="0937908B"/>
    <w:rsid w:val="0FE6491B"/>
    <w:rsid w:val="10DA2D6D"/>
    <w:rsid w:val="139AD911"/>
    <w:rsid w:val="13BCDBB3"/>
    <w:rsid w:val="14CE483A"/>
    <w:rsid w:val="15D467E5"/>
    <w:rsid w:val="195CF1EB"/>
    <w:rsid w:val="1AE060CD"/>
    <w:rsid w:val="1B3C9D92"/>
    <w:rsid w:val="1BDECBCD"/>
    <w:rsid w:val="20C07987"/>
    <w:rsid w:val="21F804F3"/>
    <w:rsid w:val="2258931A"/>
    <w:rsid w:val="2782891A"/>
    <w:rsid w:val="27AF0736"/>
    <w:rsid w:val="2E8FE3CC"/>
    <w:rsid w:val="32DE02D3"/>
    <w:rsid w:val="34264931"/>
    <w:rsid w:val="3736F7FC"/>
    <w:rsid w:val="39B8C666"/>
    <w:rsid w:val="3C80DED4"/>
    <w:rsid w:val="3DD02F92"/>
    <w:rsid w:val="3FCABECB"/>
    <w:rsid w:val="4154B5BF"/>
    <w:rsid w:val="43A1F480"/>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6DA1D021"/>
    <w:rsid w:val="6E9CE537"/>
    <w:rsid w:val="741E223E"/>
    <w:rsid w:val="7460B836"/>
    <w:rsid w:val="759171FE"/>
    <w:rsid w:val="76A3E421"/>
    <w:rsid w:val="77018A98"/>
    <w:rsid w:val="786F0485"/>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620D2FCE-8AC6-4976-A166-48D69EEF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paragraph" w:customStyle="1" w:styleId="paragraph">
    <w:name w:val="paragraph"/>
    <w:basedOn w:val="Normal"/>
    <w:rsid w:val="005028DA"/>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5028DA"/>
  </w:style>
  <w:style w:type="character" w:customStyle="1" w:styleId="eop">
    <w:name w:val="eop"/>
    <w:basedOn w:val="DefaultParagraphFont"/>
    <w:rsid w:val="0050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93294">
      <w:bodyDiv w:val="1"/>
      <w:marLeft w:val="0"/>
      <w:marRight w:val="0"/>
      <w:marTop w:val="0"/>
      <w:marBottom w:val="0"/>
      <w:divBdr>
        <w:top w:val="none" w:sz="0" w:space="0" w:color="auto"/>
        <w:left w:val="none" w:sz="0" w:space="0" w:color="auto"/>
        <w:bottom w:val="none" w:sz="0" w:space="0" w:color="auto"/>
        <w:right w:val="none" w:sz="0" w:space="0" w:color="auto"/>
      </w:divBdr>
      <w:divsChild>
        <w:div w:id="1487671160">
          <w:marLeft w:val="0"/>
          <w:marRight w:val="0"/>
          <w:marTop w:val="0"/>
          <w:marBottom w:val="0"/>
          <w:divBdr>
            <w:top w:val="none" w:sz="0" w:space="0" w:color="auto"/>
            <w:left w:val="none" w:sz="0" w:space="0" w:color="auto"/>
            <w:bottom w:val="none" w:sz="0" w:space="0" w:color="auto"/>
            <w:right w:val="none" w:sz="0" w:space="0" w:color="auto"/>
          </w:divBdr>
        </w:div>
        <w:div w:id="1905481202">
          <w:marLeft w:val="0"/>
          <w:marRight w:val="0"/>
          <w:marTop w:val="0"/>
          <w:marBottom w:val="0"/>
          <w:divBdr>
            <w:top w:val="none" w:sz="0" w:space="0" w:color="auto"/>
            <w:left w:val="none" w:sz="0" w:space="0" w:color="auto"/>
            <w:bottom w:val="none" w:sz="0" w:space="0" w:color="auto"/>
            <w:right w:val="none" w:sz="0" w:space="0" w:color="auto"/>
          </w:divBdr>
        </w:div>
      </w:divsChild>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2049723007">
      <w:bodyDiv w:val="1"/>
      <w:marLeft w:val="0"/>
      <w:marRight w:val="0"/>
      <w:marTop w:val="0"/>
      <w:marBottom w:val="0"/>
      <w:divBdr>
        <w:top w:val="none" w:sz="0" w:space="0" w:color="auto"/>
        <w:left w:val="none" w:sz="0" w:space="0" w:color="auto"/>
        <w:bottom w:val="none" w:sz="0" w:space="0" w:color="auto"/>
        <w:right w:val="none" w:sz="0" w:space="0" w:color="auto"/>
      </w:divBdr>
      <w:divsChild>
        <w:div w:id="682979155">
          <w:marLeft w:val="0"/>
          <w:marRight w:val="0"/>
          <w:marTop w:val="0"/>
          <w:marBottom w:val="0"/>
          <w:divBdr>
            <w:top w:val="none" w:sz="0" w:space="0" w:color="auto"/>
            <w:left w:val="none" w:sz="0" w:space="0" w:color="auto"/>
            <w:bottom w:val="none" w:sz="0" w:space="0" w:color="auto"/>
            <w:right w:val="none" w:sz="0" w:space="0" w:color="auto"/>
          </w:divBdr>
        </w:div>
        <w:div w:id="704596733">
          <w:marLeft w:val="0"/>
          <w:marRight w:val="0"/>
          <w:marTop w:val="0"/>
          <w:marBottom w:val="0"/>
          <w:divBdr>
            <w:top w:val="none" w:sz="0" w:space="0" w:color="auto"/>
            <w:left w:val="none" w:sz="0" w:space="0" w:color="auto"/>
            <w:bottom w:val="none" w:sz="0" w:space="0" w:color="auto"/>
            <w:right w:val="none" w:sz="0" w:space="0" w:color="auto"/>
          </w:divBdr>
        </w:div>
        <w:div w:id="156186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_dlc_DocId xmlns="36ebd4db-6f78-4d9b-a8bd-dda683c55855">SSVJ533UJCM2-2088875932-82242</_dlc_DocId>
    <_dlc_DocIdUrl xmlns="36ebd4db-6f78-4d9b-a8bd-dda683c55855">
      <Url>https://ukri.sharepoint.com/sites/og_SP-Grants/_layouts/15/DocIdRedir.aspx?ID=SSVJ533UJCM2-2088875932-82242</Url>
      <Description>SSVJ533UJCM2-2088875932-82242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4" ma:contentTypeDescription="Create a new document." ma:contentTypeScope="" ma:versionID="cd3694c3b126b4d1115d41b732ec3835">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02f6721723e88bb14e146f77724bba5"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1E0E25C5-BD44-4E2A-939E-DD4DE970574E}">
  <ds:schemaRefs>
    <ds:schemaRef ds:uri="http://purl.org/dc/dcmitype/"/>
    <ds:schemaRef ds:uri="6ae3dbc7-b3af-41d2-a061-e23895c68346"/>
    <ds:schemaRef ds:uri="http://www.w3.org/XML/1998/namespace"/>
    <ds:schemaRef ds:uri="ab2fcdf6-1f3b-4c1a-90ad-359710746296"/>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4FC55A-9CFF-4F8E-A0EA-DA96CE9B9C57}"/>
</file>

<file path=customXml/itemProps5.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6.xml><?xml version="1.0" encoding="utf-8"?>
<ds:datastoreItem xmlns:ds="http://schemas.openxmlformats.org/officeDocument/2006/customXml" ds:itemID="{02E3C3F2-44C2-4071-B1D6-9CCD1D04E5A0}"/>
</file>

<file path=docProps/app.xml><?xml version="1.0" encoding="utf-8"?>
<Properties xmlns="http://schemas.openxmlformats.org/officeDocument/2006/extended-properties" xmlns:vt="http://schemas.openxmlformats.org/officeDocument/2006/docPropsVTypes">
  <Template>Normal</Template>
  <TotalTime>2</TotalTime>
  <Pages>12</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Equality Impact Assessment BBSRC STFC Facility Access Fund Round 3</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BBSRC STFC Facility Access Fund Round 3</dc:title>
  <dc:subject/>
  <dc:creator>Clemency Hitchings - UKRI</dc:creator>
  <cp:keywords/>
  <dc:description/>
  <cp:lastModifiedBy>Catherine Spencer - BBSRC UKRI</cp:lastModifiedBy>
  <cp:revision>2</cp:revision>
  <dcterms:created xsi:type="dcterms:W3CDTF">2025-07-09T12:29:00Z</dcterms:created>
  <dcterms:modified xsi:type="dcterms:W3CDTF">2025-07-09T12:29:00Z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0cafd75d-981f-410e-84aa-10814f7159be</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