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6250C82B" w:rsidR="00B55BD6" w:rsidRPr="00802E1D" w:rsidRDefault="008E3656" w:rsidP="008B1666">
      <w:pPr>
        <w:pStyle w:val="Heading1"/>
        <w:spacing w:line="259" w:lineRule="auto"/>
        <w:jc w:val="center"/>
      </w:pPr>
      <w:bookmarkStart w:id="2" w:name="_Toc126840921"/>
      <w:bookmarkStart w:id="3" w:name="_Toc126841190"/>
      <w:r>
        <w:t>Equality Impact Assessment</w:t>
      </w:r>
      <w:bookmarkEnd w:id="2"/>
      <w:bookmarkEnd w:id="3"/>
      <w:r w:rsidR="00490BB8">
        <w:t xml:space="preserve"> </w:t>
      </w:r>
    </w:p>
    <w:p w14:paraId="33B5A650" w14:textId="382B8CBF" w:rsidR="118B64DC" w:rsidRDefault="118B64DC" w:rsidP="597167A6">
      <w:pPr>
        <w:pStyle w:val="Heading1"/>
        <w:spacing w:line="259" w:lineRule="auto"/>
        <w:jc w:val="center"/>
      </w:pPr>
      <w:r>
        <w:t>(EIA) Form for Research England Higher Education Innovation Funding (HEIF) Review</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default" r:id="rId12"/>
          <w:footerReference w:type="even" r:id="rId13"/>
          <w:footerReference w:type="default" r:id="rId14"/>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3B79DB25">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3B79DB25">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06E83982" w14:textId="5A871B74" w:rsidR="0E4EB5C5" w:rsidRDefault="0D51B70A" w:rsidP="3F333782">
            <w:pPr>
              <w:spacing w:line="259" w:lineRule="auto"/>
              <w:rPr>
                <w:color w:val="auto"/>
              </w:rPr>
            </w:pPr>
            <w:r w:rsidRPr="3F333782">
              <w:rPr>
                <w:color w:val="auto"/>
              </w:rPr>
              <w:t>Higher Education Innovation Funding (HEIF) Review</w:t>
            </w:r>
          </w:p>
          <w:p w14:paraId="3F331A70" w14:textId="776298FB" w:rsidR="004E0F63" w:rsidRPr="00E03F66" w:rsidRDefault="004E0F63" w:rsidP="3F333782">
            <w:pPr>
              <w:rPr>
                <w:color w:val="3B3838" w:themeColor="background2" w:themeShade="40"/>
              </w:rPr>
            </w:pPr>
          </w:p>
        </w:tc>
      </w:tr>
      <w:tr w:rsidR="00E03F66" w:rsidRPr="00E03F66" w14:paraId="606DF4F7" w14:textId="77777777" w:rsidTr="3B79DB25">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2EBE11BA" w:rsidR="00E03F66" w:rsidRPr="00FF6147" w:rsidRDefault="675A054D" w:rsidP="3F333782">
            <w:pPr>
              <w:rPr>
                <w:color w:val="3B3838" w:themeColor="background2" w:themeShade="40"/>
              </w:rPr>
            </w:pPr>
            <w:r w:rsidRPr="3F333782">
              <w:rPr>
                <w:color w:val="auto"/>
              </w:rPr>
              <w:t xml:space="preserve">Research England, </w:t>
            </w:r>
            <w:r w:rsidR="7D55A69D" w:rsidRPr="3F333782">
              <w:rPr>
                <w:color w:val="auto"/>
              </w:rPr>
              <w:t>Knowledge Exchange</w:t>
            </w:r>
            <w:r w:rsidRPr="3F333782">
              <w:rPr>
                <w:color w:val="auto"/>
              </w:rPr>
              <w:t xml:space="preserve"> Directorate, Knowledge Exchange</w:t>
            </w:r>
            <w:r w:rsidR="73259F35" w:rsidRPr="3F333782">
              <w:rPr>
                <w:color w:val="auto"/>
              </w:rPr>
              <w:t xml:space="preserve"> Data and Evidence</w:t>
            </w:r>
            <w:r w:rsidRPr="3F333782">
              <w:rPr>
                <w:color w:val="auto"/>
              </w:rPr>
              <w:t xml:space="preserve"> team</w:t>
            </w:r>
          </w:p>
        </w:tc>
      </w:tr>
      <w:tr w:rsidR="00E03F66" w:rsidRPr="00E03F66" w14:paraId="04B491D4" w14:textId="77777777" w:rsidTr="3B79DB25">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1BC96DDD" w14:textId="4A0307BB" w:rsidR="7F4C8694" w:rsidRDefault="7DC59ADD" w:rsidP="3F333782">
            <w:pPr>
              <w:spacing w:after="160" w:line="257" w:lineRule="auto"/>
              <w:rPr>
                <w:rFonts w:eastAsia="Arial" w:cs="Arial"/>
                <w:color w:val="3B3838" w:themeColor="background2" w:themeShade="40"/>
                <w:sz w:val="24"/>
                <w:szCs w:val="24"/>
              </w:rPr>
            </w:pPr>
            <w:r w:rsidRPr="3F333782">
              <w:rPr>
                <w:rFonts w:asciiTheme="minorHAnsi" w:eastAsiaTheme="minorEastAsia" w:hAnsiTheme="minorHAnsi"/>
                <w:color w:val="auto"/>
                <w:sz w:val="24"/>
                <w:szCs w:val="24"/>
              </w:rPr>
              <w:t xml:space="preserve">Research England is reviewing its approach to higher education innovation funding (HEIF). We plan to consult the higher education sector on any potential changes to </w:t>
            </w:r>
            <w:r w:rsidR="692A4020" w:rsidRPr="3F333782">
              <w:rPr>
                <w:rFonts w:asciiTheme="minorHAnsi" w:eastAsiaTheme="minorEastAsia" w:hAnsiTheme="minorHAnsi"/>
                <w:color w:val="auto"/>
                <w:sz w:val="24"/>
                <w:szCs w:val="24"/>
              </w:rPr>
              <w:t xml:space="preserve">this funding. The aim of the HEIF Review is to review </w:t>
            </w:r>
            <w:r w:rsidR="137CDBFD" w:rsidRPr="3F333782">
              <w:rPr>
                <w:rFonts w:asciiTheme="minorHAnsi" w:eastAsiaTheme="minorEastAsia" w:hAnsiTheme="minorHAnsi"/>
                <w:color w:val="auto"/>
                <w:sz w:val="24"/>
                <w:szCs w:val="24"/>
              </w:rPr>
              <w:t xml:space="preserve">the effectiveness </w:t>
            </w:r>
            <w:r w:rsidR="0AC2B0E7" w:rsidRPr="3F333782">
              <w:rPr>
                <w:rFonts w:eastAsia="Arial" w:cs="Arial"/>
                <w:color w:val="auto"/>
                <w:sz w:val="24"/>
                <w:szCs w:val="24"/>
              </w:rPr>
              <w:t>of RE’s approach to</w:t>
            </w:r>
            <w:r w:rsidR="3E9CA5B1" w:rsidRPr="3F333782">
              <w:rPr>
                <w:rFonts w:asciiTheme="minorHAnsi" w:eastAsiaTheme="minorEastAsia" w:hAnsiTheme="minorHAnsi"/>
                <w:color w:val="auto"/>
                <w:sz w:val="24"/>
                <w:szCs w:val="24"/>
              </w:rPr>
              <w:t xml:space="preserve"> and future design of formula-based allocations for Knowledge Exchange (KE) funding</w:t>
            </w:r>
            <w:r w:rsidR="0AC2B0E7" w:rsidRPr="3F333782">
              <w:rPr>
                <w:rFonts w:eastAsia="Arial" w:cs="Arial"/>
                <w:color w:val="auto"/>
                <w:sz w:val="24"/>
                <w:szCs w:val="24"/>
              </w:rPr>
              <w:t xml:space="preserve"> </w:t>
            </w:r>
            <w:r w:rsidR="7C47E5AD" w:rsidRPr="3F333782">
              <w:rPr>
                <w:rFonts w:eastAsia="Arial" w:cs="Arial"/>
                <w:color w:val="auto"/>
                <w:sz w:val="24"/>
                <w:szCs w:val="24"/>
              </w:rPr>
              <w:t xml:space="preserve">by confirming the principles that underpin our approach and considering the way in which we currently deliver our funding against these. </w:t>
            </w:r>
          </w:p>
          <w:p w14:paraId="70B818BE" w14:textId="7CACC0A1" w:rsidR="597167A6" w:rsidRDefault="137CDBFD" w:rsidP="3F333782">
            <w:pPr>
              <w:spacing w:after="160" w:line="257" w:lineRule="auto"/>
              <w:rPr>
                <w:rFonts w:eastAsia="Arial" w:cs="Arial"/>
                <w:color w:val="3B3838" w:themeColor="background2" w:themeShade="40"/>
                <w:sz w:val="24"/>
                <w:szCs w:val="24"/>
              </w:rPr>
            </w:pPr>
            <w:r w:rsidRPr="3B79DB25">
              <w:rPr>
                <w:rFonts w:eastAsia="Arial" w:cs="Arial"/>
                <w:color w:val="auto"/>
                <w:sz w:val="24"/>
                <w:szCs w:val="24"/>
              </w:rPr>
              <w:t xml:space="preserve">Objectives include: </w:t>
            </w:r>
            <w:r>
              <w:br/>
            </w:r>
            <w:r w:rsidRPr="3B79DB25">
              <w:rPr>
                <w:rFonts w:eastAsia="Arial" w:cs="Arial"/>
                <w:color w:val="auto"/>
                <w:sz w:val="24"/>
                <w:szCs w:val="24"/>
              </w:rPr>
              <w:t xml:space="preserve">• Reviewing the current HEIF formula and its alignment with UKRI and </w:t>
            </w:r>
            <w:r w:rsidR="21DDF978" w:rsidRPr="3B79DB25">
              <w:rPr>
                <w:rFonts w:eastAsia="Arial" w:cs="Arial"/>
                <w:color w:val="auto"/>
                <w:sz w:val="24"/>
                <w:szCs w:val="24"/>
              </w:rPr>
              <w:t>G</w:t>
            </w:r>
            <w:r w:rsidRPr="3B79DB25">
              <w:rPr>
                <w:rFonts w:eastAsia="Arial" w:cs="Arial"/>
                <w:color w:val="auto"/>
                <w:sz w:val="24"/>
                <w:szCs w:val="24"/>
              </w:rPr>
              <w:t>overnment priorities</w:t>
            </w:r>
            <w:r w:rsidR="779B4A43" w:rsidRPr="3B79DB25">
              <w:rPr>
                <w:rFonts w:eastAsia="Arial" w:cs="Arial"/>
                <w:color w:val="auto"/>
                <w:sz w:val="24"/>
                <w:szCs w:val="24"/>
              </w:rPr>
              <w:t>.</w:t>
            </w:r>
            <w:r>
              <w:br/>
            </w:r>
            <w:r w:rsidRPr="3B79DB25">
              <w:rPr>
                <w:rFonts w:eastAsia="Arial" w:cs="Arial"/>
                <w:color w:val="auto"/>
                <w:sz w:val="24"/>
                <w:szCs w:val="24"/>
              </w:rPr>
              <w:t xml:space="preserve">• Considering options for future allocation mechanisms to ensure transparency, fairness, and impact. </w:t>
            </w:r>
            <w:r>
              <w:br/>
            </w:r>
            <w:r w:rsidRPr="3B79DB25">
              <w:rPr>
                <w:rFonts w:eastAsia="Arial" w:cs="Arial"/>
                <w:color w:val="auto"/>
                <w:sz w:val="24"/>
                <w:szCs w:val="24"/>
              </w:rPr>
              <w:t>• Engaging stakeholders to gather evidence and feedback on proposed changes.</w:t>
            </w:r>
            <w:r w:rsidR="2088507C" w:rsidRPr="3B79DB25">
              <w:rPr>
                <w:rFonts w:eastAsia="Arial" w:cs="Arial"/>
                <w:color w:val="auto"/>
                <w:sz w:val="24"/>
                <w:szCs w:val="24"/>
              </w:rPr>
              <w:t xml:space="preserve"> Engagement activities are expected to include a mix of targeted workshops, bilateral discussions, and expert group input.</w:t>
            </w:r>
          </w:p>
          <w:p w14:paraId="1EE1C8CB" w14:textId="786D16BB" w:rsidR="61CCB907" w:rsidRDefault="6AB778E2" w:rsidP="3F333782">
            <w:pPr>
              <w:spacing w:after="160" w:line="257" w:lineRule="auto"/>
              <w:rPr>
                <w:rFonts w:eastAsia="Arial" w:cs="Arial"/>
                <w:color w:val="3B3838" w:themeColor="background2" w:themeShade="40"/>
                <w:sz w:val="24"/>
                <w:szCs w:val="24"/>
              </w:rPr>
            </w:pPr>
            <w:r w:rsidRPr="3F333782">
              <w:rPr>
                <w:rFonts w:eastAsia="Arial" w:cs="Arial"/>
                <w:color w:val="auto"/>
                <w:sz w:val="24"/>
                <w:szCs w:val="24"/>
              </w:rPr>
              <w:t xml:space="preserve">This EIA is intended to cover the overall delivery and approach to the HEIF Review including delivery of our intended stakeholder engagement activities. Potential </w:t>
            </w:r>
            <w:r w:rsidR="7288133B" w:rsidRPr="3F333782">
              <w:rPr>
                <w:rFonts w:eastAsia="Arial" w:cs="Arial"/>
                <w:color w:val="auto"/>
                <w:sz w:val="24"/>
                <w:szCs w:val="24"/>
              </w:rPr>
              <w:t>barriers</w:t>
            </w:r>
            <w:r w:rsidRPr="3F333782">
              <w:rPr>
                <w:rFonts w:eastAsia="Arial" w:cs="Arial"/>
                <w:color w:val="auto"/>
                <w:sz w:val="24"/>
                <w:szCs w:val="24"/>
              </w:rPr>
              <w:t xml:space="preserve"> and </w:t>
            </w:r>
            <w:r w:rsidR="5573CEDF" w:rsidRPr="3F333782">
              <w:rPr>
                <w:rFonts w:eastAsia="Arial" w:cs="Arial"/>
                <w:color w:val="auto"/>
                <w:sz w:val="24"/>
                <w:szCs w:val="24"/>
              </w:rPr>
              <w:t>impact</w:t>
            </w:r>
            <w:r w:rsidRPr="3F333782">
              <w:rPr>
                <w:rFonts w:eastAsia="Arial" w:cs="Arial"/>
                <w:color w:val="auto"/>
                <w:sz w:val="24"/>
                <w:szCs w:val="24"/>
              </w:rPr>
              <w:t xml:space="preserve"> (both positives and negatives) of the delivery of the </w:t>
            </w:r>
            <w:r w:rsidR="1CB27DBF" w:rsidRPr="3F333782">
              <w:rPr>
                <w:rFonts w:eastAsia="Arial" w:cs="Arial"/>
                <w:color w:val="auto"/>
                <w:sz w:val="24"/>
                <w:szCs w:val="24"/>
              </w:rPr>
              <w:t>HEIF Review on protected characteristics, in addition to general EDI considerations of the way in which we project-manage the HEIF Review, from scoping through delivery to the MEL stage (monitoring, evaluation and learning) are review</w:t>
            </w:r>
            <w:r w:rsidR="18D30B45" w:rsidRPr="3F333782">
              <w:rPr>
                <w:rFonts w:eastAsia="Arial" w:cs="Arial"/>
                <w:color w:val="auto"/>
                <w:sz w:val="24"/>
                <w:szCs w:val="24"/>
              </w:rPr>
              <w:t>ed in this EIA.</w:t>
            </w:r>
          </w:p>
          <w:p w14:paraId="1F91DF0A" w14:textId="087DB477" w:rsidR="23FC8884" w:rsidRDefault="23FC8884" w:rsidP="3B79DB25">
            <w:pPr>
              <w:spacing w:after="160" w:line="257" w:lineRule="auto"/>
              <w:rPr>
                <w:rFonts w:eastAsia="Arial" w:cs="Arial"/>
                <w:color w:val="auto"/>
                <w:sz w:val="24"/>
                <w:szCs w:val="24"/>
              </w:rPr>
            </w:pPr>
            <w:r w:rsidRPr="3B79DB25">
              <w:rPr>
                <w:rFonts w:eastAsia="Arial" w:cs="Arial"/>
                <w:color w:val="auto"/>
                <w:sz w:val="24"/>
                <w:szCs w:val="24"/>
              </w:rPr>
              <w:t>Based on early analysis, the greatest EDI risks relate to</w:t>
            </w:r>
            <w:r w:rsidR="0BF4DB59" w:rsidRPr="3B79DB25">
              <w:rPr>
                <w:rFonts w:eastAsia="Arial" w:cs="Arial"/>
                <w:color w:val="auto"/>
                <w:sz w:val="24"/>
                <w:szCs w:val="24"/>
              </w:rPr>
              <w:t xml:space="preserve"> potential indirect impacts of any formula changes on different types of institutions</w:t>
            </w:r>
            <w:r w:rsidRPr="3B79DB25">
              <w:rPr>
                <w:rFonts w:eastAsia="Arial" w:cs="Arial"/>
                <w:color w:val="auto"/>
                <w:sz w:val="24"/>
                <w:szCs w:val="24"/>
              </w:rPr>
              <w:t xml:space="preserve"> </w:t>
            </w:r>
            <w:r w:rsidR="71468AF5" w:rsidRPr="3B79DB25">
              <w:rPr>
                <w:rFonts w:eastAsia="Arial" w:cs="Arial"/>
                <w:color w:val="auto"/>
                <w:sz w:val="24"/>
                <w:szCs w:val="24"/>
              </w:rPr>
              <w:t xml:space="preserve">and the </w:t>
            </w:r>
            <w:r w:rsidRPr="3B79DB25">
              <w:rPr>
                <w:rFonts w:eastAsia="Arial" w:cs="Arial"/>
                <w:color w:val="auto"/>
                <w:sz w:val="24"/>
                <w:szCs w:val="24"/>
              </w:rPr>
              <w:t>equitable access to engagement opportunities</w:t>
            </w:r>
            <w:r w:rsidR="4D84DD9F" w:rsidRPr="3B79DB25">
              <w:rPr>
                <w:rFonts w:eastAsia="Arial" w:cs="Arial"/>
                <w:color w:val="auto"/>
                <w:sz w:val="24"/>
                <w:szCs w:val="24"/>
              </w:rPr>
              <w:t>.</w:t>
            </w:r>
          </w:p>
          <w:p w14:paraId="41B0D318" w14:textId="4EFC1EC9" w:rsidR="5AE74A73" w:rsidRDefault="5E90212E" w:rsidP="02DDD167">
            <w:pPr>
              <w:spacing w:after="160" w:line="257" w:lineRule="auto"/>
              <w:rPr>
                <w:rFonts w:eastAsia="Arial" w:cs="Arial"/>
                <w:color w:val="auto"/>
                <w:sz w:val="24"/>
                <w:szCs w:val="24"/>
              </w:rPr>
            </w:pPr>
            <w:r w:rsidRPr="3B79DB25">
              <w:rPr>
                <w:rFonts w:eastAsia="Arial" w:cs="Arial"/>
                <w:color w:val="auto"/>
                <w:sz w:val="24"/>
                <w:szCs w:val="24"/>
              </w:rPr>
              <w:t>This EIA covers the delivery of the HEIF Review as a single programme‑level activity. Individual policy proposals emerging from the review</w:t>
            </w:r>
            <w:r w:rsidR="58FFD95A" w:rsidRPr="3B79DB25">
              <w:rPr>
                <w:rFonts w:eastAsia="Arial" w:cs="Arial"/>
                <w:color w:val="auto"/>
                <w:sz w:val="24"/>
                <w:szCs w:val="24"/>
              </w:rPr>
              <w:t xml:space="preserve"> or specific outputs related to engagement</w:t>
            </w:r>
            <w:r w:rsidRPr="3B79DB25">
              <w:rPr>
                <w:rFonts w:eastAsia="Arial" w:cs="Arial"/>
                <w:color w:val="auto"/>
                <w:sz w:val="24"/>
                <w:szCs w:val="24"/>
              </w:rPr>
              <w:t xml:space="preserve"> (e.g., options for future formula design) will undergo their own EIA where appropriate.</w:t>
            </w:r>
          </w:p>
          <w:p w14:paraId="6E3F81F5" w14:textId="6E5F7B5E" w:rsidR="472BE12B" w:rsidRDefault="2C791236" w:rsidP="3F333782">
            <w:pPr>
              <w:spacing w:after="160" w:line="257" w:lineRule="auto"/>
              <w:rPr>
                <w:rFonts w:eastAsia="Arial" w:cs="Arial"/>
                <w:color w:val="3B3838" w:themeColor="background2" w:themeShade="40"/>
                <w:sz w:val="24"/>
                <w:szCs w:val="24"/>
              </w:rPr>
            </w:pPr>
            <w:r w:rsidRPr="3F333782">
              <w:rPr>
                <w:rFonts w:eastAsia="Arial" w:cs="Arial"/>
                <w:color w:val="auto"/>
                <w:sz w:val="24"/>
                <w:szCs w:val="24"/>
              </w:rPr>
              <w:t>Intended EDI outcomes of the HEIF Review:</w:t>
            </w:r>
          </w:p>
          <w:p w14:paraId="29184201" w14:textId="1920075A" w:rsidR="472BE12B" w:rsidRDefault="2C791236" w:rsidP="3F333782">
            <w:pPr>
              <w:spacing w:after="160" w:line="257" w:lineRule="auto"/>
              <w:rPr>
                <w:rFonts w:eastAsia="Arial" w:cs="Arial"/>
                <w:color w:val="auto"/>
                <w:sz w:val="24"/>
                <w:szCs w:val="24"/>
              </w:rPr>
            </w:pPr>
            <w:r w:rsidRPr="3F333782">
              <w:rPr>
                <w:rFonts w:eastAsia="Arial" w:cs="Arial"/>
                <w:color w:val="auto"/>
                <w:sz w:val="24"/>
                <w:szCs w:val="24"/>
              </w:rPr>
              <w:t xml:space="preserve">• The HEIF Review delivery will contribute towards the delivery of the </w:t>
            </w:r>
            <w:hyperlink r:id="rId15">
              <w:r w:rsidRPr="3F333782">
                <w:rPr>
                  <w:rStyle w:val="Hyperlink"/>
                  <w:rFonts w:eastAsia="Arial" w:cs="Arial"/>
                  <w:color w:val="auto"/>
                  <w:sz w:val="24"/>
                  <w:szCs w:val="24"/>
                </w:rPr>
                <w:t>UKRI EDI strategy,</w:t>
              </w:r>
            </w:hyperlink>
            <w:r w:rsidRPr="3F333782">
              <w:rPr>
                <w:rFonts w:eastAsia="Arial" w:cs="Arial"/>
                <w:color w:val="auto"/>
                <w:sz w:val="24"/>
                <w:szCs w:val="24"/>
              </w:rPr>
              <w:t xml:space="preserve"> in particular its strategic objective to “include and support a diversity of people and ideas through our funding and partnerships”. As stated in the UKRI strategy, our intention of UKRI as an organisation providing sector-wide support is to “use our funding and our strategies, plans, policies, and processes to support the diversity of people, talent and ideas needed for world-leading research and innovation”, which is why for Research England a review of</w:t>
            </w:r>
            <w:r w:rsidR="65AF2DC9" w:rsidRPr="3F333782">
              <w:rPr>
                <w:rFonts w:eastAsia="Arial" w:cs="Arial"/>
                <w:color w:val="auto"/>
                <w:sz w:val="24"/>
                <w:szCs w:val="24"/>
              </w:rPr>
              <w:t xml:space="preserve"> HEI</w:t>
            </w:r>
            <w:r w:rsidRPr="3F333782">
              <w:rPr>
                <w:rFonts w:eastAsia="Arial" w:cs="Arial"/>
                <w:color w:val="auto"/>
                <w:sz w:val="24"/>
                <w:szCs w:val="24"/>
              </w:rPr>
              <w:t xml:space="preserve">F is a necessary first step to identify to what extent HEIF is delivering this aim and how can </w:t>
            </w:r>
            <w:r w:rsidR="31D99F09" w:rsidRPr="3F333782">
              <w:rPr>
                <w:rFonts w:eastAsia="Arial" w:cs="Arial"/>
                <w:color w:val="auto"/>
                <w:sz w:val="24"/>
                <w:szCs w:val="24"/>
              </w:rPr>
              <w:t>HEI</w:t>
            </w:r>
            <w:r w:rsidRPr="3F333782">
              <w:rPr>
                <w:rFonts w:eastAsia="Arial" w:cs="Arial"/>
                <w:color w:val="auto"/>
                <w:sz w:val="24"/>
                <w:szCs w:val="24"/>
              </w:rPr>
              <w:t>F evolve to further increase its positive impact.</w:t>
            </w:r>
          </w:p>
          <w:p w14:paraId="52EF613F" w14:textId="558FDC4D" w:rsidR="328279D2" w:rsidRDefault="1D3D5163" w:rsidP="3F333782">
            <w:pPr>
              <w:spacing w:after="160" w:line="257" w:lineRule="auto"/>
              <w:rPr>
                <w:rFonts w:eastAsia="Arial" w:cs="Arial"/>
                <w:color w:val="3B3838" w:themeColor="background2" w:themeShade="40"/>
                <w:sz w:val="24"/>
                <w:szCs w:val="24"/>
              </w:rPr>
            </w:pPr>
            <w:r w:rsidRPr="3F333782">
              <w:rPr>
                <w:rFonts w:eastAsia="Arial" w:cs="Arial"/>
                <w:color w:val="auto"/>
                <w:sz w:val="24"/>
                <w:szCs w:val="24"/>
              </w:rPr>
              <w:t xml:space="preserve">• By developing and reviewing our funding principles we will ensure that these </w:t>
            </w:r>
            <w:r w:rsidR="07CF23F8" w:rsidRPr="3F333782">
              <w:rPr>
                <w:rFonts w:eastAsia="Arial" w:cs="Arial"/>
                <w:color w:val="auto"/>
                <w:sz w:val="24"/>
                <w:szCs w:val="24"/>
              </w:rPr>
              <w:t xml:space="preserve">will </w:t>
            </w:r>
            <w:r w:rsidRPr="3F333782">
              <w:rPr>
                <w:rFonts w:eastAsia="Arial" w:cs="Arial"/>
                <w:color w:val="auto"/>
                <w:sz w:val="24"/>
                <w:szCs w:val="24"/>
              </w:rPr>
              <w:t>support the design and delivery of KE that creates benefits and opportunities for all.</w:t>
            </w:r>
          </w:p>
          <w:p w14:paraId="04303403" w14:textId="07822C98" w:rsidR="328279D2" w:rsidRDefault="1D3D5163" w:rsidP="3F333782">
            <w:pPr>
              <w:spacing w:after="160" w:line="257" w:lineRule="auto"/>
              <w:rPr>
                <w:rFonts w:eastAsia="Arial" w:cs="Arial"/>
                <w:color w:val="auto"/>
                <w:sz w:val="24"/>
                <w:szCs w:val="24"/>
              </w:rPr>
            </w:pPr>
            <w:r w:rsidRPr="3F333782">
              <w:rPr>
                <w:rFonts w:eastAsia="Arial" w:cs="Arial"/>
                <w:color w:val="auto"/>
                <w:sz w:val="24"/>
                <w:szCs w:val="24"/>
              </w:rPr>
              <w:t xml:space="preserve">• By reviewing the current effectiveness of our </w:t>
            </w:r>
            <w:r w:rsidR="40F581FF" w:rsidRPr="3F333782">
              <w:rPr>
                <w:rFonts w:eastAsia="Arial" w:cs="Arial"/>
                <w:color w:val="auto"/>
                <w:sz w:val="24"/>
                <w:szCs w:val="24"/>
              </w:rPr>
              <w:t>knowledge exchange</w:t>
            </w:r>
            <w:r w:rsidRPr="3F333782">
              <w:rPr>
                <w:rFonts w:eastAsia="Arial" w:cs="Arial"/>
                <w:color w:val="auto"/>
                <w:sz w:val="24"/>
                <w:szCs w:val="24"/>
              </w:rPr>
              <w:t xml:space="preserve"> funding against our confirmed principles, we will identify where improvements to our funding mechanisms can be made and optimise delivery in ways that create positive impacts of our funding on those with protected characteristics and EDI considerations in general.</w:t>
            </w:r>
          </w:p>
          <w:p w14:paraId="7C5237E9" w14:textId="4114A9F8" w:rsidR="328279D2" w:rsidRDefault="580352BB" w:rsidP="3F333782">
            <w:pPr>
              <w:spacing w:after="160" w:line="257" w:lineRule="auto"/>
              <w:rPr>
                <w:rFonts w:eastAsia="Arial" w:cs="Arial"/>
                <w:color w:val="auto"/>
                <w:sz w:val="24"/>
                <w:szCs w:val="24"/>
              </w:rPr>
            </w:pPr>
            <w:r w:rsidRPr="6014E2E8">
              <w:rPr>
                <w:rFonts w:eastAsia="Arial" w:cs="Arial"/>
                <w:color w:val="auto"/>
                <w:sz w:val="24"/>
                <w:szCs w:val="24"/>
              </w:rPr>
              <w:t xml:space="preserve">• By developing and implementing improved </w:t>
            </w:r>
            <w:r w:rsidR="00160F11" w:rsidRPr="6014E2E8">
              <w:rPr>
                <w:rFonts w:eastAsia="Arial" w:cs="Arial"/>
                <w:color w:val="auto"/>
                <w:sz w:val="24"/>
                <w:szCs w:val="24"/>
              </w:rPr>
              <w:t>explainability</w:t>
            </w:r>
            <w:r w:rsidRPr="6014E2E8">
              <w:rPr>
                <w:rFonts w:eastAsia="Arial" w:cs="Arial"/>
                <w:color w:val="auto"/>
                <w:sz w:val="24"/>
                <w:szCs w:val="24"/>
              </w:rPr>
              <w:t xml:space="preserve"> around the use of our funding we will contribute to supporting a thriving and open research and innovation system based on evidence. This will help contribute to an open and transparent research culture and to ensuring equal opportunities for individuals, communities, and institutions.</w:t>
            </w:r>
          </w:p>
          <w:p w14:paraId="38144D7C" w14:textId="462F7631" w:rsidR="328279D2" w:rsidRDefault="0C873F9B" w:rsidP="6014E2E8">
            <w:pPr>
              <w:spacing w:after="160" w:line="257" w:lineRule="auto"/>
              <w:rPr>
                <w:rFonts w:eastAsia="Arial" w:cs="Arial"/>
                <w:color w:val="auto"/>
                <w:sz w:val="24"/>
                <w:szCs w:val="24"/>
              </w:rPr>
            </w:pPr>
            <w:r w:rsidRPr="02DDD167">
              <w:rPr>
                <w:rFonts w:eastAsia="Arial" w:cs="Arial"/>
                <w:color w:val="auto"/>
                <w:sz w:val="24"/>
                <w:szCs w:val="24"/>
              </w:rPr>
              <w:t xml:space="preserve">• It should be noted that RE’s </w:t>
            </w:r>
            <w:r w:rsidR="7560E0DC" w:rsidRPr="02DDD167">
              <w:rPr>
                <w:rFonts w:eastAsia="Arial" w:cs="Arial"/>
                <w:color w:val="auto"/>
                <w:sz w:val="24"/>
                <w:szCs w:val="24"/>
              </w:rPr>
              <w:t>HEIF</w:t>
            </w:r>
            <w:r w:rsidRPr="02DDD167">
              <w:rPr>
                <w:rFonts w:eastAsia="Arial" w:cs="Arial"/>
                <w:color w:val="auto"/>
                <w:sz w:val="24"/>
                <w:szCs w:val="24"/>
              </w:rPr>
              <w:t xml:space="preserve"> funding is unhypothecated and directed to institutions, not individuals, therefore any EDI impact of the funding is indirect and not within RE’s control.</w:t>
            </w:r>
            <w:r w:rsidR="08B9DF46" w:rsidRPr="02DDD167">
              <w:rPr>
                <w:rFonts w:eastAsia="Arial" w:cs="Arial"/>
                <w:color w:val="auto"/>
                <w:sz w:val="24"/>
                <w:szCs w:val="24"/>
              </w:rPr>
              <w:t xml:space="preserve"> </w:t>
            </w:r>
            <w:r w:rsidR="4B11FC66" w:rsidRPr="02DDD167">
              <w:rPr>
                <w:rFonts w:eastAsia="Arial" w:cs="Arial"/>
                <w:color w:val="auto"/>
                <w:sz w:val="24"/>
                <w:szCs w:val="24"/>
              </w:rPr>
              <w:t>Expectation is put upon institutions to provide assurance that there is appropriate consideration of EDI impact in how they utilise HEIF funds.</w:t>
            </w:r>
          </w:p>
        </w:tc>
      </w:tr>
      <w:tr w:rsidR="00E03F66" w:rsidRPr="00E03F66" w14:paraId="0D97912A" w14:textId="77777777" w:rsidTr="3B79DB25">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4FB7C218" w14:textId="189A9A35" w:rsidR="00E03F66" w:rsidRPr="00E03F66" w:rsidRDefault="662C7001" w:rsidP="3F333782">
            <w:pPr>
              <w:rPr>
                <w:rFonts w:eastAsia="Arial" w:cs="Arial"/>
                <w:color w:val="3B3838" w:themeColor="background2" w:themeShade="40"/>
                <w:sz w:val="24"/>
                <w:szCs w:val="24"/>
              </w:rPr>
            </w:pPr>
            <w:r w:rsidRPr="3F333782">
              <w:rPr>
                <w:rFonts w:eastAsia="Arial" w:cs="Arial"/>
                <w:color w:val="auto"/>
                <w:sz w:val="24"/>
                <w:szCs w:val="24"/>
              </w:rPr>
              <w:t xml:space="preserve">• </w:t>
            </w:r>
            <w:r w:rsidR="0E35A273" w:rsidRPr="3F333782">
              <w:rPr>
                <w:rFonts w:eastAsia="Arial" w:cs="Arial"/>
                <w:color w:val="auto"/>
                <w:sz w:val="24"/>
                <w:szCs w:val="24"/>
              </w:rPr>
              <w:t>English HEPs currently</w:t>
            </w:r>
            <w:r w:rsidR="1ACCDC97" w:rsidRPr="3F333782">
              <w:rPr>
                <w:rFonts w:eastAsia="Arial" w:cs="Arial"/>
                <w:color w:val="auto"/>
                <w:sz w:val="24"/>
                <w:szCs w:val="24"/>
              </w:rPr>
              <w:t xml:space="preserve"> in receipt of RE </w:t>
            </w:r>
            <w:r w:rsidR="4B758873" w:rsidRPr="3F333782">
              <w:rPr>
                <w:rFonts w:eastAsia="Arial" w:cs="Arial"/>
                <w:color w:val="auto"/>
                <w:sz w:val="24"/>
                <w:szCs w:val="24"/>
              </w:rPr>
              <w:t>HEIF</w:t>
            </w:r>
            <w:r w:rsidR="1ACCDC97" w:rsidRPr="3F333782">
              <w:rPr>
                <w:rFonts w:eastAsia="Arial" w:cs="Arial"/>
                <w:color w:val="auto"/>
                <w:sz w:val="24"/>
                <w:szCs w:val="24"/>
              </w:rPr>
              <w:t xml:space="preserve"> funding </w:t>
            </w:r>
            <w:r w:rsidR="5AF9D1CB" w:rsidRPr="3F333782">
              <w:rPr>
                <w:rFonts w:eastAsia="Arial" w:cs="Arial"/>
                <w:color w:val="auto"/>
                <w:sz w:val="24"/>
                <w:szCs w:val="24"/>
              </w:rPr>
              <w:t xml:space="preserve"> </w:t>
            </w:r>
            <w:r w:rsidRPr="3F333782">
              <w:rPr>
                <w:rFonts w:eastAsia="Arial" w:cs="Arial"/>
                <w:color w:val="auto"/>
                <w:sz w:val="24"/>
                <w:szCs w:val="24"/>
              </w:rPr>
              <w:t xml:space="preserve"> </w:t>
            </w:r>
            <w:r w:rsidR="78301340">
              <w:br/>
            </w:r>
            <w:r w:rsidRPr="3F333782">
              <w:rPr>
                <w:rFonts w:eastAsia="Arial" w:cs="Arial"/>
                <w:color w:val="auto"/>
                <w:sz w:val="24"/>
                <w:szCs w:val="24"/>
              </w:rPr>
              <w:t xml:space="preserve">• Individuals </w:t>
            </w:r>
            <w:r w:rsidR="710E0089" w:rsidRPr="3F333782">
              <w:rPr>
                <w:rFonts w:eastAsia="Arial" w:cs="Arial"/>
                <w:color w:val="auto"/>
                <w:sz w:val="24"/>
                <w:szCs w:val="24"/>
              </w:rPr>
              <w:t xml:space="preserve">and groups employed at the institutions </w:t>
            </w:r>
            <w:r w:rsidRPr="3F333782">
              <w:rPr>
                <w:rFonts w:eastAsia="Arial" w:cs="Arial"/>
                <w:color w:val="auto"/>
                <w:sz w:val="24"/>
                <w:szCs w:val="24"/>
              </w:rPr>
              <w:t>involved in KE activities (academics, professional services, business partners, community organisations).</w:t>
            </w:r>
            <w:r w:rsidR="13D56B3B" w:rsidRPr="3F333782">
              <w:rPr>
                <w:rFonts w:eastAsia="Arial" w:cs="Arial"/>
                <w:color w:val="auto"/>
                <w:sz w:val="24"/>
                <w:szCs w:val="24"/>
              </w:rPr>
              <w:t xml:space="preserve"> They all have a range of protected and additional EDI characteristics.</w:t>
            </w:r>
            <w:r w:rsidR="4327E13A" w:rsidRPr="3F333782">
              <w:rPr>
                <w:rFonts w:eastAsia="Arial" w:cs="Arial"/>
                <w:color w:val="auto"/>
                <w:sz w:val="24"/>
                <w:szCs w:val="24"/>
              </w:rPr>
              <w:t xml:space="preserve"> Additionally, on an organisational level, a range of types of institutions will be impacted by this review</w:t>
            </w:r>
          </w:p>
          <w:p w14:paraId="02D0569E" w14:textId="2EF6E010" w:rsidR="00E03F66" w:rsidRPr="00E03F66" w:rsidRDefault="4327E13A" w:rsidP="3F333782">
            <w:pPr>
              <w:rPr>
                <w:rFonts w:eastAsia="Arial" w:cs="Arial"/>
                <w:color w:val="3B3838" w:themeColor="background2" w:themeShade="40"/>
                <w:sz w:val="24"/>
                <w:szCs w:val="24"/>
              </w:rPr>
            </w:pPr>
            <w:r w:rsidRPr="3F333782">
              <w:rPr>
                <w:rFonts w:eastAsia="Arial" w:cs="Arial"/>
                <w:color w:val="auto"/>
                <w:sz w:val="24"/>
                <w:szCs w:val="24"/>
              </w:rPr>
              <w:t>• Internal RE KE Directorate staff delivering the review and the Executive Team who lead the organisation.</w:t>
            </w:r>
          </w:p>
        </w:tc>
      </w:tr>
      <w:tr w:rsidR="00E03F66" w:rsidRPr="00E03F66" w14:paraId="460E5B07" w14:textId="77777777" w:rsidTr="3B79DB25">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45C4BC2C" w14:textId="7289E2B0" w:rsidR="00A10000" w:rsidRPr="00A10000" w:rsidRDefault="00A10000" w:rsidP="3F333782">
            <w:pPr>
              <w:rPr>
                <w:color w:val="3B3838" w:themeColor="background2" w:themeShade="40"/>
              </w:rPr>
            </w:pPr>
          </w:p>
          <w:p w14:paraId="06ACB9F1" w14:textId="4ECC0B41" w:rsidR="00A10000" w:rsidRPr="00A10000" w:rsidRDefault="187A43B9" w:rsidP="3B79DB25">
            <w:pPr>
              <w:rPr>
                <w:rFonts w:eastAsia="Arial" w:cs="Arial"/>
                <w:b/>
                <w:bCs/>
                <w:sz w:val="24"/>
                <w:szCs w:val="24"/>
                <w:highlight w:val="yellow"/>
              </w:rPr>
            </w:pPr>
            <w:r w:rsidRPr="3B79DB25">
              <w:rPr>
                <w:rFonts w:eastAsia="Arial" w:cs="Arial"/>
                <w:color w:val="auto"/>
                <w:sz w:val="24"/>
                <w:szCs w:val="24"/>
              </w:rPr>
              <w:t>• HESA staff and student demographic data</w:t>
            </w:r>
            <w:r w:rsidRPr="3B79DB25">
              <w:rPr>
                <w:rFonts w:eastAsia="Arial" w:cs="Arial"/>
                <w:color w:val="3B3838" w:themeColor="background2" w:themeShade="40"/>
                <w:sz w:val="24"/>
                <w:szCs w:val="24"/>
              </w:rPr>
              <w:t xml:space="preserve"> (</w:t>
            </w:r>
            <w:hyperlink r:id="rId16">
              <w:r w:rsidRPr="3B79DB25">
                <w:rPr>
                  <w:rStyle w:val="Hyperlink"/>
                  <w:rFonts w:eastAsia="Arial" w:cs="Arial"/>
                  <w:sz w:val="24"/>
                  <w:szCs w:val="24"/>
                </w:rPr>
                <w:t>https://www.hesa.ac.uk/data-and-analysis</w:t>
              </w:r>
            </w:hyperlink>
            <w:r w:rsidRPr="3B79DB25">
              <w:rPr>
                <w:rFonts w:eastAsia="Arial" w:cs="Arial"/>
                <w:color w:val="3B3838" w:themeColor="background2" w:themeShade="40"/>
                <w:sz w:val="24"/>
                <w:szCs w:val="24"/>
              </w:rPr>
              <w:t xml:space="preserve">). </w:t>
            </w:r>
            <w:r>
              <w:br/>
            </w:r>
            <w:r w:rsidRPr="3B79DB25">
              <w:rPr>
                <w:rFonts w:eastAsia="Arial" w:cs="Arial"/>
                <w:color w:val="auto"/>
                <w:sz w:val="24"/>
                <w:szCs w:val="24"/>
              </w:rPr>
              <w:t xml:space="preserve">• </w:t>
            </w:r>
            <w:hyperlink r:id="rId17" w:history="1">
              <w:r w:rsidRPr="3B79DB25">
                <w:rPr>
                  <w:rStyle w:val="Hyperlink"/>
                  <w:rFonts w:eastAsia="Arial" w:cs="Arial"/>
                  <w:sz w:val="24"/>
                  <w:szCs w:val="24"/>
                </w:rPr>
                <w:t>KEF cluster profiles</w:t>
              </w:r>
            </w:hyperlink>
            <w:r w:rsidRPr="3B79DB25">
              <w:rPr>
                <w:rFonts w:eastAsia="Arial" w:cs="Arial"/>
                <w:color w:val="auto"/>
                <w:sz w:val="24"/>
                <w:szCs w:val="24"/>
              </w:rPr>
              <w:t xml:space="preserve"> and </w:t>
            </w:r>
            <w:hyperlink r:id="rId18" w:history="1">
              <w:r w:rsidRPr="3B79DB25">
                <w:rPr>
                  <w:rStyle w:val="Hyperlink"/>
                  <w:rFonts w:eastAsia="Arial" w:cs="Arial"/>
                  <w:sz w:val="24"/>
                  <w:szCs w:val="24"/>
                </w:rPr>
                <w:t>HEIF allocation data (2019–2026)</w:t>
              </w:r>
            </w:hyperlink>
          </w:p>
          <w:p w14:paraId="2BCA8A2B" w14:textId="6749BD1D" w:rsidR="00A10000" w:rsidRPr="00A10000" w:rsidRDefault="187A43B9" w:rsidP="3F333782">
            <w:pPr>
              <w:rPr>
                <w:rFonts w:eastAsia="Arial" w:cs="Arial"/>
                <w:color w:val="auto"/>
                <w:sz w:val="24"/>
                <w:szCs w:val="24"/>
              </w:rPr>
            </w:pPr>
            <w:r w:rsidRPr="3F333782">
              <w:rPr>
                <w:rFonts w:eastAsia="Arial" w:cs="Arial"/>
                <w:color w:val="auto"/>
                <w:sz w:val="24"/>
                <w:szCs w:val="24"/>
              </w:rPr>
              <w:t xml:space="preserve">• Previous EIAs (e.g., </w:t>
            </w:r>
            <w:r w:rsidR="3853DFF9" w:rsidRPr="3F333782">
              <w:rPr>
                <w:rFonts w:eastAsia="Arial" w:cs="Arial"/>
                <w:color w:val="auto"/>
                <w:sz w:val="24"/>
                <w:szCs w:val="24"/>
              </w:rPr>
              <w:t xml:space="preserve">RE’s Institutions Engagement Strategy, </w:t>
            </w:r>
            <w:r w:rsidR="28E48B31" w:rsidRPr="3F333782">
              <w:rPr>
                <w:rFonts w:eastAsia="Arial" w:cs="Arial"/>
                <w:color w:val="auto"/>
                <w:sz w:val="24"/>
                <w:szCs w:val="24"/>
              </w:rPr>
              <w:t>Future Research Assessment programme,</w:t>
            </w:r>
            <w:r w:rsidRPr="3F333782">
              <w:rPr>
                <w:rFonts w:eastAsia="Arial" w:cs="Arial"/>
                <w:color w:val="auto"/>
                <w:sz w:val="24"/>
                <w:szCs w:val="24"/>
              </w:rPr>
              <w:t xml:space="preserve"> policy changes</w:t>
            </w:r>
            <w:r w:rsidR="4F575FB0" w:rsidRPr="3F333782">
              <w:rPr>
                <w:rFonts w:eastAsia="Arial" w:cs="Arial"/>
                <w:color w:val="auto"/>
                <w:sz w:val="24"/>
                <w:szCs w:val="24"/>
              </w:rPr>
              <w:t>, SIRF Review,</w:t>
            </w:r>
            <w:r w:rsidRPr="3F333782">
              <w:rPr>
                <w:rFonts w:eastAsia="Arial" w:cs="Arial"/>
                <w:color w:val="auto"/>
                <w:sz w:val="24"/>
                <w:szCs w:val="24"/>
              </w:rPr>
              <w:t>).</w:t>
            </w:r>
          </w:p>
          <w:p w14:paraId="72832189" w14:textId="01A339C6" w:rsidR="00A10000" w:rsidRPr="00A10000" w:rsidRDefault="578F585D" w:rsidP="597167A6">
            <w:pPr>
              <w:rPr>
                <w:rFonts w:eastAsia="Arial" w:cs="Arial"/>
                <w:sz w:val="24"/>
                <w:szCs w:val="24"/>
              </w:rPr>
            </w:pPr>
            <w:hyperlink r:id="rId19">
              <w:r w:rsidRPr="597167A6">
                <w:rPr>
                  <w:rStyle w:val="Hyperlink"/>
                  <w:rFonts w:eastAsia="Arial" w:cs="Arial"/>
                  <w:sz w:val="24"/>
                  <w:szCs w:val="24"/>
                </w:rPr>
                <w:t>Sector engagement strategy and equality impact assessment – UKRI</w:t>
              </w:r>
            </w:hyperlink>
            <w:r w:rsidRPr="597167A6">
              <w:rPr>
                <w:rFonts w:eastAsia="Arial" w:cs="Arial"/>
                <w:sz w:val="24"/>
                <w:szCs w:val="24"/>
              </w:rPr>
              <w:t xml:space="preserve"> </w:t>
            </w:r>
          </w:p>
          <w:p w14:paraId="32101220" w14:textId="5CDB9FFD" w:rsidR="00A10000" w:rsidRPr="00A10000" w:rsidRDefault="578F585D" w:rsidP="597167A6">
            <w:pPr>
              <w:rPr>
                <w:rFonts w:eastAsia="Arial" w:cs="Arial"/>
                <w:sz w:val="24"/>
                <w:szCs w:val="24"/>
              </w:rPr>
            </w:pPr>
            <w:hyperlink r:id="rId20">
              <w:r w:rsidRPr="597167A6">
                <w:rPr>
                  <w:rStyle w:val="Hyperlink"/>
                  <w:rFonts w:eastAsia="Arial" w:cs="Arial"/>
                  <w:sz w:val="24"/>
                  <w:szCs w:val="24"/>
                </w:rPr>
                <w:t>Future research assessment programme provisional equality impact assessment</w:t>
              </w:r>
            </w:hyperlink>
          </w:p>
          <w:p w14:paraId="109C5F9D" w14:textId="5A1CA665" w:rsidR="00A10000" w:rsidRPr="00A10000" w:rsidRDefault="59F8A328" w:rsidP="3F333782">
            <w:pPr>
              <w:rPr>
                <w:rFonts w:eastAsia="Arial" w:cs="Arial"/>
                <w:sz w:val="24"/>
                <w:szCs w:val="24"/>
              </w:rPr>
            </w:pPr>
            <w:hyperlink r:id="rId21">
              <w:r w:rsidRPr="3F333782">
                <w:rPr>
                  <w:rStyle w:val="Hyperlink"/>
                  <w:rFonts w:eastAsia="Arial" w:cs="Arial"/>
                  <w:sz w:val="24"/>
                  <w:szCs w:val="24"/>
                </w:rPr>
                <w:t>RE-08082024-Equality-Impact-Assessment-for-SIRF-review_Aug-2024_v1_FINAL.pdf</w:t>
              </w:r>
            </w:hyperlink>
          </w:p>
          <w:p w14:paraId="010A9441" w14:textId="7D722993" w:rsidR="00A10000" w:rsidRPr="00A10000" w:rsidRDefault="00A10000" w:rsidP="3F333782">
            <w:pPr>
              <w:rPr>
                <w:rFonts w:eastAsia="Arial" w:cs="Arial"/>
                <w:sz w:val="24"/>
                <w:szCs w:val="24"/>
              </w:rPr>
            </w:pPr>
          </w:p>
          <w:p w14:paraId="25D15AD6" w14:textId="02D20A38" w:rsidR="00A10000" w:rsidRPr="00A10000" w:rsidRDefault="7C351954" w:rsidP="3B79DB25">
            <w:pPr>
              <w:spacing w:line="259" w:lineRule="auto"/>
              <w:rPr>
                <w:rFonts w:eastAsia="Arial" w:cs="Arial"/>
                <w:color w:val="auto"/>
                <w:sz w:val="24"/>
                <w:szCs w:val="24"/>
              </w:rPr>
            </w:pPr>
            <w:r w:rsidRPr="3B79DB25">
              <w:rPr>
                <w:rFonts w:asciiTheme="minorHAnsi" w:eastAsiaTheme="minorEastAsia" w:hAnsiTheme="minorHAnsi"/>
                <w:color w:val="auto"/>
                <w:sz w:val="24"/>
                <w:szCs w:val="24"/>
              </w:rPr>
              <w:t xml:space="preserve">The </w:t>
            </w:r>
            <w:r w:rsidR="00083E84">
              <w:rPr>
                <w:rFonts w:asciiTheme="minorHAnsi" w:eastAsiaTheme="minorEastAsia" w:hAnsiTheme="minorHAnsi"/>
                <w:color w:val="auto"/>
                <w:sz w:val="24"/>
                <w:szCs w:val="24"/>
              </w:rPr>
              <w:t>KE Funding Technical</w:t>
            </w:r>
            <w:r w:rsidRPr="3B79DB25">
              <w:rPr>
                <w:rFonts w:asciiTheme="minorHAnsi" w:eastAsiaTheme="minorEastAsia" w:hAnsiTheme="minorHAnsi"/>
                <w:color w:val="auto"/>
                <w:sz w:val="24"/>
                <w:szCs w:val="24"/>
              </w:rPr>
              <w:t xml:space="preserve"> Expert Group is being convened to provide </w:t>
            </w:r>
            <w:r w:rsidR="6BECB663" w:rsidRPr="3B79DB25">
              <w:rPr>
                <w:rFonts w:asciiTheme="minorHAnsi" w:eastAsiaTheme="minorEastAsia" w:hAnsiTheme="minorHAnsi"/>
                <w:color w:val="auto"/>
                <w:sz w:val="24"/>
                <w:szCs w:val="24"/>
              </w:rPr>
              <w:t xml:space="preserve">technical </w:t>
            </w:r>
            <w:r w:rsidRPr="3B79DB25">
              <w:rPr>
                <w:rFonts w:asciiTheme="minorHAnsi" w:eastAsiaTheme="minorEastAsia" w:hAnsiTheme="minorHAnsi"/>
                <w:color w:val="auto"/>
                <w:sz w:val="24"/>
                <w:szCs w:val="24"/>
              </w:rPr>
              <w:t>advice and challenge across the review. Membership will reflect expertise relevant to KE</w:t>
            </w:r>
            <w:r w:rsidR="10EDCC84" w:rsidRPr="3B79DB25">
              <w:rPr>
                <w:rFonts w:asciiTheme="minorHAnsi" w:eastAsiaTheme="minorEastAsia" w:hAnsiTheme="minorHAnsi"/>
                <w:color w:val="auto"/>
                <w:sz w:val="24"/>
                <w:szCs w:val="24"/>
              </w:rPr>
              <w:t xml:space="preserve"> formula</w:t>
            </w:r>
            <w:r w:rsidRPr="3B79DB25">
              <w:rPr>
                <w:rFonts w:asciiTheme="minorHAnsi" w:eastAsiaTheme="minorEastAsia" w:hAnsiTheme="minorHAnsi"/>
                <w:color w:val="auto"/>
                <w:sz w:val="24"/>
                <w:szCs w:val="24"/>
              </w:rPr>
              <w:t xml:space="preserve"> funding, and analysis. Consideration of diversity, representation, and lived experience will form part of the selection process</w:t>
            </w:r>
            <w:r w:rsidR="18D3CE92" w:rsidRPr="3B79DB25">
              <w:rPr>
                <w:rFonts w:asciiTheme="minorHAnsi" w:eastAsiaTheme="minorEastAsia" w:hAnsiTheme="minorHAnsi"/>
                <w:color w:val="auto"/>
                <w:sz w:val="24"/>
                <w:szCs w:val="24"/>
              </w:rPr>
              <w:t xml:space="preserve">, however the technical expertise </w:t>
            </w:r>
            <w:r w:rsidR="7964C159" w:rsidRPr="3B79DB25">
              <w:rPr>
                <w:rFonts w:asciiTheme="minorHAnsi" w:eastAsiaTheme="minorEastAsia" w:hAnsiTheme="minorHAnsi"/>
                <w:color w:val="auto"/>
                <w:sz w:val="24"/>
                <w:szCs w:val="24"/>
              </w:rPr>
              <w:t>will be the</w:t>
            </w:r>
            <w:r w:rsidR="37DE4CF8" w:rsidRPr="3B79DB25">
              <w:rPr>
                <w:rFonts w:asciiTheme="minorHAnsi" w:eastAsiaTheme="minorEastAsia" w:hAnsiTheme="minorHAnsi"/>
                <w:color w:val="auto"/>
                <w:sz w:val="24"/>
                <w:szCs w:val="24"/>
              </w:rPr>
              <w:t xml:space="preserve"> basis for the group</w:t>
            </w:r>
            <w:r w:rsidRPr="3B79DB25">
              <w:rPr>
                <w:rFonts w:asciiTheme="minorHAnsi" w:eastAsiaTheme="minorEastAsia" w:hAnsiTheme="minorHAnsi"/>
                <w:color w:val="auto"/>
                <w:sz w:val="24"/>
                <w:szCs w:val="24"/>
              </w:rPr>
              <w:t>.</w:t>
            </w:r>
            <w:r w:rsidR="7A17063A" w:rsidRPr="3B79DB25">
              <w:rPr>
                <w:rFonts w:asciiTheme="minorHAnsi" w:eastAsiaTheme="minorEastAsia" w:hAnsiTheme="minorHAnsi"/>
                <w:color w:val="auto"/>
                <w:sz w:val="24"/>
                <w:szCs w:val="24"/>
              </w:rPr>
              <w:t xml:space="preserve"> </w:t>
            </w:r>
          </w:p>
          <w:p w14:paraId="133A7E5C" w14:textId="2BF8E596" w:rsidR="00A10000" w:rsidRPr="00A10000" w:rsidRDefault="00A10000" w:rsidP="597167A6">
            <w:pPr>
              <w:rPr>
                <w:rFonts w:eastAsia="Arial" w:cs="Arial"/>
                <w:sz w:val="24"/>
                <w:szCs w:val="24"/>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0A6336E1" w14:textId="58BDDED0" w:rsidR="00A40B47" w:rsidRPr="00E03F66" w:rsidRDefault="00A40B47" w:rsidP="32DE02D3"/>
    <w:p w14:paraId="6450DBA0" w14:textId="2988E31C" w:rsidR="32DE02D3"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lastRenderedPageBreak/>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3B79DB25">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3B79DB25">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3B79DB25">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1B25937A" w:rsidR="0013632F" w:rsidRPr="0013632F" w:rsidRDefault="00BD01CA"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785CDD17" w:rsidR="0013632F" w:rsidRPr="0013632F" w:rsidRDefault="3A507908" w:rsidP="0013632F">
                <w:r w:rsidRPr="597167A6">
                  <w:rPr>
                    <w:rFonts w:ascii="MS Gothic" w:eastAsia="MS Gothic" w:hAnsi="MS Gothic" w:cs="MS Gothic"/>
                    <w:color w:val="000000" w:themeColor="text1"/>
                    <w:sz w:val="40"/>
                    <w:szCs w:val="40"/>
                  </w:rPr>
                  <w:t>☒</w:t>
                </w:r>
              </w:p>
            </w:tc>
          </w:sdtContent>
        </w:sdt>
        <w:tc>
          <w:tcPr>
            <w:tcW w:w="4805" w:type="dxa"/>
          </w:tcPr>
          <w:p w14:paraId="26ADC5A3" w14:textId="6AE9F56D" w:rsidR="0013632F" w:rsidRPr="0013632F" w:rsidRDefault="571EFC20" w:rsidP="3F333782">
            <w:pPr>
              <w:rPr>
                <w:color w:val="auto"/>
              </w:rPr>
            </w:pPr>
            <w:r w:rsidRPr="3F333782">
              <w:rPr>
                <w:b/>
                <w:bCs/>
                <w:color w:val="auto"/>
              </w:rPr>
              <w:t xml:space="preserve">General assumption: </w:t>
            </w:r>
            <w:r w:rsidRPr="3F333782">
              <w:rPr>
                <w:color w:val="auto"/>
              </w:rPr>
              <w:t>Age and seniority in career stages often, but not always, overlap.</w:t>
            </w:r>
          </w:p>
          <w:p w14:paraId="53EEF050" w14:textId="4299A086" w:rsidR="0013632F" w:rsidRPr="0013632F" w:rsidRDefault="571EFC20" w:rsidP="3F333782">
            <w:pPr>
              <w:rPr>
                <w:color w:val="auto"/>
              </w:rPr>
            </w:pPr>
            <w:r w:rsidRPr="3F333782">
              <w:rPr>
                <w:b/>
                <w:bCs/>
                <w:color w:val="auto"/>
              </w:rPr>
              <w:t xml:space="preserve">Comms: </w:t>
            </w:r>
            <w:r w:rsidRPr="3F333782">
              <w:rPr>
                <w:color w:val="auto"/>
              </w:rPr>
              <w:t>University leadership teams and senior academic staff are likely to be those groups that have access to the greatest amount of communication regarding this HEIF review from RE, for example via targeted emails and not just information in the public domain.</w:t>
            </w:r>
          </w:p>
          <w:p w14:paraId="7E87B67D" w14:textId="31F86411" w:rsidR="0013632F" w:rsidRPr="0013632F" w:rsidRDefault="0535490E" w:rsidP="3F333782">
            <w:pPr>
              <w:spacing w:line="259" w:lineRule="auto"/>
              <w:rPr>
                <w:color w:val="auto"/>
              </w:rPr>
            </w:pPr>
            <w:r w:rsidRPr="3F333782">
              <w:rPr>
                <w:b/>
                <w:bCs/>
                <w:color w:val="auto"/>
              </w:rPr>
              <w:t>Engagement</w:t>
            </w:r>
            <w:r w:rsidRPr="3F333782">
              <w:rPr>
                <w:color w:val="auto"/>
              </w:rPr>
              <w:t xml:space="preserve">: University leadership teams and senior academic staff are likely to be those groups that engage most heavily with the HEIF Review (for example, through 1:1 </w:t>
            </w:r>
            <w:proofErr w:type="gramStart"/>
            <w:r w:rsidRPr="3F333782">
              <w:rPr>
                <w:color w:val="auto"/>
              </w:rPr>
              <w:t>conversations</w:t>
            </w:r>
            <w:proofErr w:type="gramEnd"/>
            <w:r w:rsidRPr="3F333782">
              <w:rPr>
                <w:color w:val="auto"/>
              </w:rPr>
              <w:t xml:space="preserve"> with RE Institutional Engagement Managers, and invitation-only events). If the majority of engagement with the review is from age groups that are over-represented in these positions (see HESA data), this may lead to any changes to our funding streams positively impacting these senior age and career groups, whilst impacts of changes to our funding on researchers/members of staff on earlier career </w:t>
            </w:r>
            <w:r w:rsidRPr="3F333782">
              <w:rPr>
                <w:color w:val="auto"/>
              </w:rPr>
              <w:lastRenderedPageBreak/>
              <w:t>stages, many of them – younger, may not be understood adequately.</w:t>
            </w:r>
          </w:p>
        </w:tc>
        <w:tc>
          <w:tcPr>
            <w:tcW w:w="4587" w:type="dxa"/>
          </w:tcPr>
          <w:p w14:paraId="3770E1EE" w14:textId="036CBC4F" w:rsidR="0013632F" w:rsidRPr="0013632F" w:rsidRDefault="4792AF9D" w:rsidP="3F333782">
            <w:pPr>
              <w:rPr>
                <w:color w:val="auto"/>
              </w:rPr>
            </w:pPr>
            <w:r w:rsidRPr="3B79DB25">
              <w:rPr>
                <w:color w:val="auto"/>
              </w:rPr>
              <w:lastRenderedPageBreak/>
              <w:t>To provide information regarding the HEIF review and to access feedback based on lived experience across career stages and therefore across age groups, we will consider some targeted engagement opportunities and communication</w:t>
            </w:r>
          </w:p>
        </w:tc>
      </w:tr>
      <w:tr w:rsidR="0013632F" w:rsidRPr="0013632F" w14:paraId="348B4F8B" w14:textId="77777777" w:rsidTr="3B79DB25">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44E182B5" w:rsidR="0013632F" w:rsidRPr="0013632F" w:rsidRDefault="613B4158" w:rsidP="0013632F">
                <w:r w:rsidRPr="597167A6">
                  <w:rPr>
                    <w:rFonts w:ascii="MS Gothic" w:eastAsia="MS Gothic" w:hAnsi="MS Gothic" w:cs="MS Gothic"/>
                    <w:color w:val="000000" w:themeColor="text1"/>
                    <w:sz w:val="40"/>
                    <w:szCs w:val="40"/>
                  </w:rPr>
                  <w:t>☒</w:t>
                </w:r>
              </w:p>
            </w:tc>
          </w:sdtContent>
        </w:sdt>
        <w:tc>
          <w:tcPr>
            <w:tcW w:w="4805" w:type="dxa"/>
          </w:tcPr>
          <w:p w14:paraId="24A6CCBD" w14:textId="3CBD90A4" w:rsidR="0013632F" w:rsidRPr="0013632F" w:rsidRDefault="4D761560" w:rsidP="3F333782">
            <w:pPr>
              <w:rPr>
                <w:color w:val="auto"/>
              </w:rPr>
            </w:pPr>
            <w:r w:rsidRPr="3F333782">
              <w:rPr>
                <w:color w:val="auto"/>
              </w:rPr>
              <w:t>Comms and engagement: if HEIF review updates for the public, and/or the opportunities for HEP community to get involved in consultations, aren’t accessible, this will limit the participation of community members with disabilities, and how informed they are, which may in turn mean RE won’t identify some of the potential impacts of changes to how we allocate funding on individuals and groups with physical and/or mental disabilities.</w:t>
            </w:r>
          </w:p>
        </w:tc>
        <w:tc>
          <w:tcPr>
            <w:tcW w:w="4587" w:type="dxa"/>
          </w:tcPr>
          <w:p w14:paraId="106C3BC8" w14:textId="77777777" w:rsidR="0013632F" w:rsidRDefault="4D761560" w:rsidP="3F333782">
            <w:pPr>
              <w:rPr>
                <w:color w:val="auto"/>
              </w:rPr>
            </w:pPr>
            <w:r w:rsidRPr="3F333782">
              <w:rPr>
                <w:color w:val="auto"/>
              </w:rPr>
              <w:t>To access feedback based on lived experience and keep this part of our community informed of the progress and outcome of the HEIF review, we will ensure that our engagement events, communication channels and content are accessible for people with disabilities</w:t>
            </w:r>
          </w:p>
          <w:p w14:paraId="22F3DE62" w14:textId="77777777" w:rsidR="00BF1A19" w:rsidRDefault="00BF1A19" w:rsidP="3F333782">
            <w:pPr>
              <w:rPr>
                <w:color w:val="auto"/>
              </w:rPr>
            </w:pPr>
          </w:p>
          <w:p w14:paraId="2E09443B" w14:textId="11F11A6F" w:rsidR="00BF1A19" w:rsidRPr="0013632F" w:rsidRDefault="742D950E" w:rsidP="3F333782">
            <w:pPr>
              <w:rPr>
                <w:color w:val="auto"/>
              </w:rPr>
            </w:pPr>
            <w:r w:rsidRPr="3F333782">
              <w:rPr>
                <w:color w:val="auto"/>
              </w:rPr>
              <w:t xml:space="preserve">Provision of accessible materials </w:t>
            </w:r>
            <w:r w:rsidR="128F503A" w:rsidRPr="3F333782">
              <w:rPr>
                <w:color w:val="auto"/>
              </w:rPr>
              <w:t>includ</w:t>
            </w:r>
            <w:r w:rsidR="7F8CD66E" w:rsidRPr="3F333782">
              <w:rPr>
                <w:color w:val="auto"/>
              </w:rPr>
              <w:t>ing</w:t>
            </w:r>
            <w:r w:rsidR="128F503A" w:rsidRPr="3F333782">
              <w:rPr>
                <w:color w:val="auto"/>
              </w:rPr>
              <w:t xml:space="preserve"> </w:t>
            </w:r>
            <w:r w:rsidRPr="3F333782">
              <w:rPr>
                <w:color w:val="auto"/>
              </w:rPr>
              <w:t>HTML</w:t>
            </w:r>
            <w:r w:rsidR="7F8CD66E" w:rsidRPr="3F333782">
              <w:rPr>
                <w:color w:val="auto"/>
              </w:rPr>
              <w:t xml:space="preserve"> and </w:t>
            </w:r>
            <w:r w:rsidRPr="3F333782">
              <w:rPr>
                <w:color w:val="auto"/>
              </w:rPr>
              <w:t>captions,</w:t>
            </w:r>
            <w:r w:rsidR="65D4628F" w:rsidRPr="3F333782">
              <w:rPr>
                <w:color w:val="auto"/>
              </w:rPr>
              <w:t xml:space="preserve"> where possible holding</w:t>
            </w:r>
            <w:r w:rsidRPr="3F333782">
              <w:rPr>
                <w:color w:val="auto"/>
              </w:rPr>
              <w:t xml:space="preserve"> hybrid events, and </w:t>
            </w:r>
            <w:r w:rsidR="65D4628F" w:rsidRPr="3F333782">
              <w:rPr>
                <w:color w:val="auto"/>
              </w:rPr>
              <w:t xml:space="preserve">ensuring </w:t>
            </w:r>
            <w:r w:rsidRPr="3F333782">
              <w:rPr>
                <w:color w:val="auto"/>
              </w:rPr>
              <w:t>reasonable adjustments.</w:t>
            </w:r>
          </w:p>
        </w:tc>
      </w:tr>
      <w:tr w:rsidR="0013632F" w:rsidRPr="0013632F" w14:paraId="0B0797AA" w14:textId="77777777" w:rsidTr="3B79DB25">
        <w:trPr>
          <w:trHeight w:val="205"/>
        </w:trPr>
        <w:tc>
          <w:tcPr>
            <w:tcW w:w="2508" w:type="dxa"/>
            <w:shd w:val="clear" w:color="auto" w:fill="D1DEFD" w:themeFill="accent3" w:themeFillTint="33"/>
          </w:tcPr>
          <w:p w14:paraId="5F77659B" w14:textId="77777777" w:rsidR="0013632F" w:rsidRPr="0013632F" w:rsidRDefault="0013632F" w:rsidP="0013632F">
            <w:r w:rsidRPr="0013632F">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6B61C661" w:rsidR="0013632F" w:rsidRPr="0013632F" w:rsidRDefault="7FDC0B2B" w:rsidP="0013632F">
                <w:r w:rsidRPr="597167A6">
                  <w:rPr>
                    <w:rFonts w:ascii="MS Gothic" w:eastAsia="MS Gothic" w:hAnsi="MS Gothic" w:cs="MS Gothic"/>
                    <w:color w:val="000000" w:themeColor="text1"/>
                    <w:sz w:val="40"/>
                    <w:szCs w:val="40"/>
                  </w:rPr>
                  <w:t>☒</w:t>
                </w:r>
              </w:p>
            </w:tc>
          </w:sdtContent>
        </w:sdt>
        <w:tc>
          <w:tcPr>
            <w:tcW w:w="4805" w:type="dxa"/>
          </w:tcPr>
          <w:p w14:paraId="0DE0DFA1" w14:textId="4CC53423" w:rsidR="0013632F" w:rsidRPr="0013632F" w:rsidRDefault="11298190" w:rsidP="3F333782">
            <w:pPr>
              <w:rPr>
                <w:color w:val="auto"/>
              </w:rPr>
            </w:pPr>
            <w:r w:rsidRPr="3F333782">
              <w:rPr>
                <w:color w:val="auto"/>
              </w:rPr>
              <w:t>Engagement: There is a risk of mis-gendering or deadnaming (that is, referring to a transgender or non-binary person by a name they were given at birth but no longer use) our community members involved in HEIF review consultations by RE staff or the external consultancy commissioned with delivering some of the activities within the review.</w:t>
            </w:r>
          </w:p>
          <w:p w14:paraId="756D2DD6" w14:textId="3039E55D" w:rsidR="0013632F" w:rsidRPr="0013632F" w:rsidRDefault="11298190" w:rsidP="3F333782">
            <w:pPr>
              <w:rPr>
                <w:color w:val="auto"/>
              </w:rPr>
            </w:pPr>
            <w:r w:rsidRPr="3F333782">
              <w:rPr>
                <w:color w:val="auto"/>
              </w:rPr>
              <w:t>Otherwise, no impact identified.</w:t>
            </w:r>
          </w:p>
        </w:tc>
        <w:tc>
          <w:tcPr>
            <w:tcW w:w="4587" w:type="dxa"/>
          </w:tcPr>
          <w:p w14:paraId="78846AF1" w14:textId="0E8C95A4" w:rsidR="0013632F" w:rsidRPr="0013632F" w:rsidRDefault="11298190" w:rsidP="3B79DB25">
            <w:pPr>
              <w:rPr>
                <w:color w:val="auto"/>
              </w:rPr>
            </w:pPr>
            <w:r w:rsidRPr="3B79DB25">
              <w:rPr>
                <w:color w:val="auto"/>
              </w:rPr>
              <w:t>We will also encourage a voluntary use of pronouns in videoconferencing usernames and on physical name badges.</w:t>
            </w:r>
          </w:p>
        </w:tc>
      </w:tr>
      <w:tr w:rsidR="0013632F" w:rsidRPr="0013632F" w14:paraId="1848A452" w14:textId="77777777" w:rsidTr="3B79DB25">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5AE5D69D" w14:textId="692AFCEB" w:rsidR="0013632F" w:rsidRPr="0013632F" w:rsidRDefault="2BF9CD69" w:rsidP="3F333782">
            <w:pPr>
              <w:rPr>
                <w:color w:val="auto"/>
              </w:rPr>
            </w:pPr>
            <w:r w:rsidRPr="3F333782">
              <w:rPr>
                <w:color w:val="auto"/>
              </w:rPr>
              <w:t>No impact identified, marriage or civil partnership should not be affected by the HEIF Review’s delivery or in how it is communicated</w:t>
            </w:r>
          </w:p>
        </w:tc>
        <w:tc>
          <w:tcPr>
            <w:tcW w:w="4587" w:type="dxa"/>
          </w:tcPr>
          <w:p w14:paraId="3E673427" w14:textId="7745154A" w:rsidR="0013632F" w:rsidRPr="0013632F" w:rsidRDefault="2BF9CD69" w:rsidP="3F333782">
            <w:pPr>
              <w:rPr>
                <w:color w:val="auto"/>
              </w:rPr>
            </w:pPr>
            <w:r w:rsidRPr="3F333782">
              <w:rPr>
                <w:color w:val="auto"/>
              </w:rPr>
              <w:t>Not applicable</w:t>
            </w:r>
          </w:p>
        </w:tc>
      </w:tr>
      <w:tr w:rsidR="0013632F" w:rsidRPr="0013632F" w14:paraId="6050ABF1" w14:textId="77777777" w:rsidTr="3B79DB25">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73007572" w:rsidR="0013632F" w:rsidRPr="0013632F" w:rsidRDefault="5A34C931" w:rsidP="0013632F">
                <w:r w:rsidRPr="597167A6">
                  <w:rPr>
                    <w:rFonts w:ascii="MS Gothic" w:eastAsia="MS Gothic" w:hAnsi="MS Gothic" w:cs="MS Gothic"/>
                    <w:color w:val="000000" w:themeColor="text1"/>
                    <w:sz w:val="40"/>
                    <w:szCs w:val="40"/>
                  </w:rPr>
                  <w:t>☒</w:t>
                </w:r>
              </w:p>
            </w:tc>
          </w:sdtContent>
        </w:sdt>
        <w:tc>
          <w:tcPr>
            <w:tcW w:w="4805" w:type="dxa"/>
          </w:tcPr>
          <w:p w14:paraId="71AADCEA" w14:textId="42EB5C36" w:rsidR="0013632F" w:rsidRDefault="735B2016" w:rsidP="3F333782">
            <w:pPr>
              <w:rPr>
                <w:color w:val="auto"/>
              </w:rPr>
            </w:pPr>
            <w:r w:rsidRPr="3F333782">
              <w:rPr>
                <w:b/>
                <w:bCs/>
                <w:color w:val="auto"/>
              </w:rPr>
              <w:t>Comms:</w:t>
            </w:r>
            <w:r w:rsidRPr="3F333782">
              <w:rPr>
                <w:color w:val="auto"/>
              </w:rPr>
              <w:t xml:space="preserve"> Those on parental leave over the course of the HEIF Review may return and be uninformed of any changes made and the status/purpose of the review. If HEIF review updates for the public are only published as news items which go down the priority list on the website as other news are announced, community members on parental leave or on </w:t>
            </w:r>
            <w:r w:rsidRPr="3F333782">
              <w:rPr>
                <w:color w:val="auto"/>
              </w:rPr>
              <w:lastRenderedPageBreak/>
              <w:t>holidays due to parental responsibilities will miss them.</w:t>
            </w:r>
          </w:p>
          <w:p w14:paraId="5F04CCB2" w14:textId="77777777" w:rsidR="00594DBE" w:rsidRPr="0013632F" w:rsidRDefault="00594DBE" w:rsidP="3F333782">
            <w:pPr>
              <w:rPr>
                <w:color w:val="auto"/>
              </w:rPr>
            </w:pPr>
          </w:p>
          <w:p w14:paraId="0B3243D0" w14:textId="20B48DD5" w:rsidR="0013632F" w:rsidRPr="0013632F" w:rsidRDefault="735B2016" w:rsidP="3F333782">
            <w:pPr>
              <w:rPr>
                <w:color w:val="auto"/>
              </w:rPr>
            </w:pPr>
            <w:r w:rsidRPr="3F333782">
              <w:rPr>
                <w:b/>
                <w:bCs/>
                <w:color w:val="auto"/>
              </w:rPr>
              <w:t>Engagement:</w:t>
            </w:r>
            <w:r w:rsidRPr="3F333782">
              <w:rPr>
                <w:color w:val="auto"/>
              </w:rPr>
              <w:t xml:space="preserve"> If the opportunities for community to get involved in consultations does not include sufficient breaks and spaces for pregnant and breast-feeding participants, this will limit the participation of community members, which may in turn mean RE won’t identify some of the potential impacts of changes to how we allocate funding on individuals and groups with this protected characteristic.</w:t>
            </w:r>
          </w:p>
        </w:tc>
        <w:tc>
          <w:tcPr>
            <w:tcW w:w="4587" w:type="dxa"/>
          </w:tcPr>
          <w:p w14:paraId="4468886F" w14:textId="11914DCF" w:rsidR="0013632F" w:rsidRDefault="735B2016" w:rsidP="3F333782">
            <w:pPr>
              <w:rPr>
                <w:color w:val="auto"/>
              </w:rPr>
            </w:pPr>
            <w:r w:rsidRPr="3F333782">
              <w:rPr>
                <w:color w:val="auto"/>
              </w:rPr>
              <w:lastRenderedPageBreak/>
              <w:t>To keep this part of our community informed of the progress and outcome of the HEIF review, we will use a mix of news items and more permanent web pages so people returning to work after a period of pregnancy and parental leave will be able to find the information on RE website.</w:t>
            </w:r>
          </w:p>
          <w:p w14:paraId="3191AB96" w14:textId="77777777" w:rsidR="00594DBE" w:rsidRPr="0013632F" w:rsidRDefault="00594DBE" w:rsidP="3F333782">
            <w:pPr>
              <w:rPr>
                <w:color w:val="auto"/>
              </w:rPr>
            </w:pPr>
          </w:p>
          <w:p w14:paraId="18273E8E" w14:textId="6947F204" w:rsidR="0013632F" w:rsidRDefault="735B2016" w:rsidP="3F333782">
            <w:pPr>
              <w:spacing w:line="259" w:lineRule="auto"/>
              <w:rPr>
                <w:color w:val="auto"/>
              </w:rPr>
            </w:pPr>
            <w:r w:rsidRPr="3F333782">
              <w:rPr>
                <w:color w:val="auto"/>
              </w:rPr>
              <w:lastRenderedPageBreak/>
              <w:t>When appropriate we will provide communication in advance of our proposed activity of the HEIF Review to give notice of planned activity. We will summarise activity carried out to date and the steps that led to these decisions and actions.</w:t>
            </w:r>
          </w:p>
          <w:p w14:paraId="4F58CD0D" w14:textId="3288862B" w:rsidR="0013632F" w:rsidRPr="0013632F" w:rsidRDefault="735B2016" w:rsidP="3F333782">
            <w:pPr>
              <w:rPr>
                <w:color w:val="auto"/>
              </w:rPr>
            </w:pPr>
            <w:r w:rsidRPr="3F333782">
              <w:rPr>
                <w:color w:val="auto"/>
              </w:rPr>
              <w:t>Stakeholder events and engagement opportunities will start after 10am and should finish before typical school pick up time. Timings of events should vary by day and time to allow flexibility and increase the likelihood that those with maternity responsibilities can attend. Event venues will be chosen with consideration that a private room should be available for breastfeeding and extracting milk, and participants will be informed where to find the room. Recordings of any information sessions should be made available after events to allow people to engage when convenient.</w:t>
            </w:r>
          </w:p>
          <w:p w14:paraId="226037FD" w14:textId="44C7D3A2" w:rsidR="0013632F" w:rsidRPr="0013632F" w:rsidRDefault="735B2016" w:rsidP="3F333782">
            <w:pPr>
              <w:rPr>
                <w:color w:val="auto"/>
              </w:rPr>
            </w:pPr>
            <w:r w:rsidRPr="3F333782">
              <w:rPr>
                <w:color w:val="auto"/>
              </w:rPr>
              <w:t>Any community engagement during the delivery of the review will include breaks and avoid school holidays and typical school drop off and pick up times.</w:t>
            </w:r>
          </w:p>
        </w:tc>
      </w:tr>
      <w:tr w:rsidR="0013632F" w:rsidRPr="0013632F" w14:paraId="1B19424E" w14:textId="77777777" w:rsidTr="3B79DB25">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64AB7A62" w:rsidR="0013632F" w:rsidRPr="0013632F" w:rsidRDefault="214928CC" w:rsidP="0013632F">
                <w:r w:rsidRPr="597167A6">
                  <w:rPr>
                    <w:rFonts w:ascii="MS Gothic" w:eastAsia="MS Gothic" w:hAnsi="MS Gothic" w:cs="MS Gothic"/>
                    <w:color w:val="000000" w:themeColor="text1"/>
                    <w:sz w:val="40"/>
                    <w:szCs w:val="40"/>
                  </w:rPr>
                  <w:t>☒</w:t>
                </w:r>
              </w:p>
            </w:tc>
          </w:sdtContent>
        </w:sdt>
        <w:tc>
          <w:tcPr>
            <w:tcW w:w="4805" w:type="dxa"/>
          </w:tcPr>
          <w:p w14:paraId="048A80EF" w14:textId="27068922" w:rsidR="0013632F" w:rsidRDefault="0EE52791" w:rsidP="3F333782">
            <w:pPr>
              <w:rPr>
                <w:color w:val="auto"/>
              </w:rPr>
            </w:pPr>
            <w:r w:rsidRPr="3F333782">
              <w:rPr>
                <w:color w:val="auto"/>
              </w:rPr>
              <w:t xml:space="preserve">Engagement on the </w:t>
            </w:r>
            <w:r w:rsidR="625DA9C3" w:rsidRPr="3F333782">
              <w:rPr>
                <w:color w:val="auto"/>
              </w:rPr>
              <w:t>HEI</w:t>
            </w:r>
            <w:r w:rsidRPr="3F333782">
              <w:rPr>
                <w:color w:val="auto"/>
              </w:rPr>
              <w:t xml:space="preserve">F Review with only people in senior positions in the higher education sector could seriously limit input from people from minority ethnic backgrounds due to the currently low representation on senior career levels. It could also put undue burden on the limited representation at this level. Black, Asian and minority ethnic groups are underrepresented in the UK research community, and particularly at senior positions, </w:t>
            </w:r>
            <w:r w:rsidRPr="3F333782">
              <w:rPr>
                <w:color w:val="auto"/>
              </w:rPr>
              <w:lastRenderedPageBreak/>
              <w:t>as per HESA statistical data quoted earlier in the ‘Age’ section.</w:t>
            </w:r>
          </w:p>
          <w:p w14:paraId="4686FE99" w14:textId="77777777" w:rsidR="00594DBE" w:rsidRPr="0013632F" w:rsidRDefault="00594DBE" w:rsidP="3F333782">
            <w:pPr>
              <w:rPr>
                <w:color w:val="auto"/>
              </w:rPr>
            </w:pPr>
          </w:p>
          <w:p w14:paraId="07F072D5" w14:textId="14D994D2" w:rsidR="00594DBE" w:rsidRDefault="0EE52791" w:rsidP="3F333782">
            <w:pPr>
              <w:rPr>
                <w:color w:val="auto"/>
              </w:rPr>
            </w:pPr>
            <w:r w:rsidRPr="3F333782">
              <w:rPr>
                <w:color w:val="auto"/>
              </w:rPr>
              <w:t>The completion of the HEIF Review itself should not negatively or positively impact this protected characteristic.</w:t>
            </w:r>
          </w:p>
          <w:p w14:paraId="13F1FF15" w14:textId="77777777" w:rsidR="00594DBE" w:rsidRPr="0013632F" w:rsidRDefault="00594DBE" w:rsidP="3F333782">
            <w:pPr>
              <w:rPr>
                <w:color w:val="auto"/>
              </w:rPr>
            </w:pPr>
          </w:p>
          <w:p w14:paraId="774C1FD4" w14:textId="478F61D8" w:rsidR="0013632F" w:rsidRPr="0013632F" w:rsidRDefault="0EE52791" w:rsidP="3F333782">
            <w:pPr>
              <w:rPr>
                <w:color w:val="auto"/>
              </w:rPr>
            </w:pPr>
            <w:r w:rsidRPr="3F333782">
              <w:rPr>
                <w:color w:val="auto"/>
              </w:rPr>
              <w:t>However, for context, it is important to be aware of the current makeup of the research and innovation sector in England (e.g. Black, Asian and minority ethnic people are underrepresented in the research community, and particularly at senior positions (HESA data – 88% professors are white),</w:t>
            </w:r>
            <w:r w:rsidR="371CB75F" w:rsidRPr="3F333782">
              <w:rPr>
                <w:color w:val="auto"/>
              </w:rPr>
              <w:t xml:space="preserve"> </w:t>
            </w:r>
            <w:r w:rsidRPr="3F333782">
              <w:rPr>
                <w:color w:val="auto"/>
              </w:rPr>
              <w:t>and of any barriers to wider participation in research from all ethnicities.</w:t>
            </w:r>
          </w:p>
        </w:tc>
        <w:tc>
          <w:tcPr>
            <w:tcW w:w="4587" w:type="dxa"/>
          </w:tcPr>
          <w:p w14:paraId="3E6DF33D" w14:textId="4261740E" w:rsidR="0013632F" w:rsidRPr="0013632F" w:rsidRDefault="0EE52791" w:rsidP="3F333782">
            <w:pPr>
              <w:rPr>
                <w:color w:val="auto"/>
              </w:rPr>
            </w:pPr>
            <w:r w:rsidRPr="3F333782">
              <w:rPr>
                <w:color w:val="auto"/>
              </w:rPr>
              <w:lastRenderedPageBreak/>
              <w:t>The RE Expert Advisory Group on Equality Diversity and Inclusion will be consulted where applicable</w:t>
            </w:r>
          </w:p>
        </w:tc>
      </w:tr>
      <w:tr w:rsidR="0013632F" w:rsidRPr="0013632F" w14:paraId="636FBFAF" w14:textId="77777777" w:rsidTr="3B79DB25">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2D03E1D5" w:rsidR="0013632F" w:rsidRPr="0013632F" w:rsidRDefault="51407B5D" w:rsidP="0013632F">
                <w:r w:rsidRPr="597167A6">
                  <w:rPr>
                    <w:rFonts w:ascii="MS Gothic" w:eastAsia="MS Gothic" w:hAnsi="MS Gothic" w:cs="MS Gothic"/>
                    <w:color w:val="000000" w:themeColor="text1"/>
                    <w:sz w:val="40"/>
                    <w:szCs w:val="40"/>
                  </w:rPr>
                  <w:t>☒</w:t>
                </w:r>
              </w:p>
            </w:tc>
          </w:sdtContent>
        </w:sdt>
        <w:tc>
          <w:tcPr>
            <w:tcW w:w="4805" w:type="dxa"/>
          </w:tcPr>
          <w:p w14:paraId="5D33CA21" w14:textId="00DC87AD" w:rsidR="0013632F" w:rsidRPr="0013632F" w:rsidRDefault="7AD26629" w:rsidP="3F333782">
            <w:pPr>
              <w:spacing w:line="259" w:lineRule="auto"/>
              <w:rPr>
                <w:color w:val="auto"/>
              </w:rPr>
            </w:pPr>
            <w:r w:rsidRPr="3F333782">
              <w:rPr>
                <w:b/>
                <w:bCs/>
                <w:color w:val="auto"/>
              </w:rPr>
              <w:t>Comms:</w:t>
            </w:r>
            <w:r w:rsidRPr="3F333782">
              <w:rPr>
                <w:color w:val="auto"/>
              </w:rPr>
              <w:t xml:space="preserve"> Those on holidays due to religious purposes over the course of the HEIF Review may return and be uninformed of any changes made and the status/purpose of the review. If HEIF review updates for the public are only published as news items which go down the priority list on the website as other news are announced, community members away e.g. due to major religious holidays or a personal pilgrimage or religious retreat, will miss them.</w:t>
            </w:r>
          </w:p>
          <w:p w14:paraId="7E0377FD" w14:textId="00B93153" w:rsidR="0013632F" w:rsidRPr="0013632F" w:rsidRDefault="7AD26629" w:rsidP="3F333782">
            <w:pPr>
              <w:spacing w:line="259" w:lineRule="auto"/>
              <w:rPr>
                <w:color w:val="auto"/>
              </w:rPr>
            </w:pPr>
            <w:r w:rsidRPr="3F333782">
              <w:rPr>
                <w:color w:val="auto"/>
              </w:rPr>
              <w:t>Engagement: If the opportunities for community to get involved in consultations clash with major religious holidays, this will limit the participation of community members, which may in turn mean RE won’t identify some of the potential impacts of changes to how we allocate funding on individuals and groups with this protected characteristic.</w:t>
            </w:r>
          </w:p>
          <w:p w14:paraId="6F955D26" w14:textId="51B0D5CD" w:rsidR="0013632F" w:rsidRPr="0013632F" w:rsidRDefault="7AD26629" w:rsidP="3F333782">
            <w:pPr>
              <w:spacing w:line="259" w:lineRule="auto"/>
              <w:rPr>
                <w:color w:val="auto"/>
              </w:rPr>
            </w:pPr>
            <w:r w:rsidRPr="3F333782">
              <w:rPr>
                <w:color w:val="auto"/>
              </w:rPr>
              <w:lastRenderedPageBreak/>
              <w:t>The completion of the HEIF should not negatively or positively impact this protected characteristic.</w:t>
            </w:r>
          </w:p>
          <w:p w14:paraId="1C1A5A6B" w14:textId="478D0AD4" w:rsidR="0013632F" w:rsidRPr="0013632F" w:rsidRDefault="7AD26629" w:rsidP="3F333782">
            <w:pPr>
              <w:spacing w:line="259" w:lineRule="auto"/>
              <w:rPr>
                <w:color w:val="auto"/>
              </w:rPr>
            </w:pPr>
            <w:r w:rsidRPr="3F333782">
              <w:rPr>
                <w:color w:val="auto"/>
              </w:rPr>
              <w:t>For context, due to the voluntary nature of reporting certain protected characteristics including religion and belief, it may be difficult to acquire evidence or information that informs our impact analysis of the HEIF Review delivery on this characteristic</w:t>
            </w:r>
          </w:p>
        </w:tc>
        <w:tc>
          <w:tcPr>
            <w:tcW w:w="4587" w:type="dxa"/>
          </w:tcPr>
          <w:p w14:paraId="32B3139A" w14:textId="3D3C5F5C" w:rsidR="0013632F" w:rsidRPr="0013632F" w:rsidRDefault="7AD26629" w:rsidP="3F333782">
            <w:pPr>
              <w:spacing w:line="259" w:lineRule="auto"/>
              <w:rPr>
                <w:color w:val="auto"/>
              </w:rPr>
            </w:pPr>
            <w:r w:rsidRPr="3F333782">
              <w:rPr>
                <w:color w:val="auto"/>
              </w:rPr>
              <w:lastRenderedPageBreak/>
              <w:t>Just like in case of parenthood characteristic, we will keep this part of our community informed of the progress and outcome of the</w:t>
            </w:r>
            <w:r w:rsidR="500E81BD" w:rsidRPr="3F333782">
              <w:rPr>
                <w:color w:val="auto"/>
              </w:rPr>
              <w:t xml:space="preserve"> </w:t>
            </w:r>
            <w:r w:rsidRPr="3F333782">
              <w:rPr>
                <w:color w:val="auto"/>
              </w:rPr>
              <w:t>HEIF review, we will use a mix of news items and more permanent web pages so people returning to work after a period of leave related to religious occasions will be able to find the information on RE website.</w:t>
            </w:r>
          </w:p>
          <w:p w14:paraId="5E1B28F6" w14:textId="4ED5AE80" w:rsidR="0013632F" w:rsidRPr="0013632F" w:rsidRDefault="7AD26629" w:rsidP="3F333782">
            <w:pPr>
              <w:spacing w:line="259" w:lineRule="auto"/>
              <w:rPr>
                <w:color w:val="auto"/>
              </w:rPr>
            </w:pPr>
            <w:r w:rsidRPr="3F333782">
              <w:rPr>
                <w:color w:val="auto"/>
              </w:rPr>
              <w:t>When appropriate we will provide communication in advance of our proposed activity of the HEIF Review to give notice of planned activity. We will summarise activity carried out to date and the steps that led to these decisions and actions.</w:t>
            </w:r>
          </w:p>
          <w:p w14:paraId="48F3D0AC" w14:textId="756FFB4C" w:rsidR="0013632F" w:rsidRPr="0013632F" w:rsidRDefault="7AD26629" w:rsidP="3F333782">
            <w:pPr>
              <w:spacing w:line="259" w:lineRule="auto"/>
              <w:rPr>
                <w:color w:val="auto"/>
              </w:rPr>
            </w:pPr>
            <w:r w:rsidRPr="3F333782">
              <w:rPr>
                <w:color w:val="auto"/>
              </w:rPr>
              <w:t xml:space="preserve">By spreading engagement activity throughout each year, we may ensure </w:t>
            </w:r>
            <w:r w:rsidRPr="3F333782">
              <w:rPr>
                <w:color w:val="auto"/>
              </w:rPr>
              <w:lastRenderedPageBreak/>
              <w:t>engagement with the review by individuals observing religious holidays.</w:t>
            </w:r>
          </w:p>
          <w:p w14:paraId="281E6C0B" w14:textId="77777777" w:rsidR="0013632F" w:rsidRDefault="7AD26629" w:rsidP="3F333782">
            <w:pPr>
              <w:spacing w:line="259" w:lineRule="auto"/>
              <w:rPr>
                <w:color w:val="auto"/>
              </w:rPr>
            </w:pPr>
            <w:r w:rsidRPr="3B79DB25">
              <w:rPr>
                <w:color w:val="auto"/>
              </w:rPr>
              <w:t>Recordings of any information sessions should be made available after events to allow people to engage when convenient.</w:t>
            </w:r>
          </w:p>
          <w:p w14:paraId="3A0B6D60" w14:textId="223A7796" w:rsidR="00AC13DA" w:rsidRPr="0013632F" w:rsidRDefault="69072B04" w:rsidP="3F333782">
            <w:pPr>
              <w:spacing w:line="259" w:lineRule="auto"/>
              <w:rPr>
                <w:color w:val="auto"/>
              </w:rPr>
            </w:pPr>
            <w:r w:rsidRPr="3B79DB25">
              <w:rPr>
                <w:color w:val="auto"/>
              </w:rPr>
              <w:t xml:space="preserve">Consultations will be open for a minimum of 4 weeks, </w:t>
            </w:r>
            <w:r w:rsidR="77FEF696" w:rsidRPr="3B79DB25">
              <w:rPr>
                <w:color w:val="auto"/>
              </w:rPr>
              <w:t>to ensure time off</w:t>
            </w:r>
            <w:r w:rsidRPr="3B79DB25">
              <w:rPr>
                <w:color w:val="auto"/>
              </w:rPr>
              <w:t xml:space="preserve"> for a religious holiday</w:t>
            </w:r>
            <w:r w:rsidR="606D1F17" w:rsidRPr="3B79DB25">
              <w:rPr>
                <w:color w:val="auto"/>
              </w:rPr>
              <w:t xml:space="preserve"> does not preclude</w:t>
            </w:r>
            <w:r w:rsidRPr="3B79DB25">
              <w:rPr>
                <w:color w:val="auto"/>
              </w:rPr>
              <w:t xml:space="preserve"> engage</w:t>
            </w:r>
            <w:r w:rsidR="15CD2DC8" w:rsidRPr="3B79DB25">
              <w:rPr>
                <w:color w:val="auto"/>
              </w:rPr>
              <w:t>ment</w:t>
            </w:r>
          </w:p>
        </w:tc>
      </w:tr>
      <w:tr w:rsidR="0013632F" w:rsidRPr="0013632F" w14:paraId="41A1E9B5" w14:textId="77777777" w:rsidTr="3B79DB25">
        <w:trPr>
          <w:trHeight w:val="205"/>
        </w:trPr>
        <w:tc>
          <w:tcPr>
            <w:tcW w:w="2508" w:type="dxa"/>
            <w:shd w:val="clear" w:color="auto" w:fill="D1DEFD" w:themeFill="accent3" w:themeFillTint="33"/>
          </w:tcPr>
          <w:p w14:paraId="5119852C" w14:textId="77777777" w:rsidR="0013632F" w:rsidRPr="0013632F" w:rsidRDefault="0013632F" w:rsidP="0013632F">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B47139D" w14:textId="69404F1E" w:rsidR="0013632F" w:rsidRPr="0013632F" w:rsidRDefault="52396693" w:rsidP="3F333782">
            <w:pPr>
              <w:rPr>
                <w:color w:val="auto"/>
              </w:rPr>
            </w:pPr>
            <w:r w:rsidRPr="3F333782">
              <w:rPr>
                <w:color w:val="auto"/>
              </w:rPr>
              <w:t>No impact identified. Sexual orientation should not affect opportunities to stay informed of and engage with the review</w:t>
            </w:r>
          </w:p>
        </w:tc>
        <w:tc>
          <w:tcPr>
            <w:tcW w:w="4587" w:type="dxa"/>
          </w:tcPr>
          <w:p w14:paraId="20C85CEE" w14:textId="6B258D78" w:rsidR="0013632F" w:rsidRPr="0013632F" w:rsidRDefault="52396693" w:rsidP="3F333782">
            <w:pPr>
              <w:rPr>
                <w:color w:val="auto"/>
              </w:rPr>
            </w:pPr>
            <w:r w:rsidRPr="3F333782">
              <w:rPr>
                <w:color w:val="auto"/>
              </w:rPr>
              <w:t>Not applicable</w:t>
            </w:r>
          </w:p>
        </w:tc>
      </w:tr>
      <w:tr w:rsidR="0013632F" w:rsidRPr="0013632F" w14:paraId="100D5274" w14:textId="77777777" w:rsidTr="3B79DB25">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10BC8008" w:rsidR="0013632F" w:rsidRPr="0013632F" w:rsidRDefault="79A59635" w:rsidP="0013632F">
                <w:r w:rsidRPr="597167A6">
                  <w:rPr>
                    <w:rFonts w:ascii="MS Gothic" w:eastAsia="MS Gothic" w:hAnsi="MS Gothic" w:cs="MS Gothic"/>
                    <w:color w:val="000000" w:themeColor="text1"/>
                    <w:sz w:val="40"/>
                    <w:szCs w:val="40"/>
                  </w:rPr>
                  <w:t>☒</w:t>
                </w:r>
              </w:p>
            </w:tc>
          </w:sdtContent>
        </w:sdt>
        <w:tc>
          <w:tcPr>
            <w:tcW w:w="4805" w:type="dxa"/>
          </w:tcPr>
          <w:p w14:paraId="7E114FF5" w14:textId="704DCA0C" w:rsidR="0013632F" w:rsidRPr="0013632F" w:rsidRDefault="2F66ED94" w:rsidP="3F333782">
            <w:pPr>
              <w:rPr>
                <w:color w:val="auto"/>
              </w:rPr>
            </w:pPr>
            <w:r w:rsidRPr="3B79DB25">
              <w:rPr>
                <w:b/>
                <w:bCs/>
                <w:color w:val="auto"/>
              </w:rPr>
              <w:t>Engagement</w:t>
            </w:r>
            <w:r w:rsidRPr="3B79DB25">
              <w:rPr>
                <w:color w:val="auto"/>
              </w:rPr>
              <w:t>: The only legally recognised options for sex in the UK are ‘female’ and ‘male’. Therefore, some community members who were born with both sets of reproductive organs (</w:t>
            </w:r>
            <w:r w:rsidR="76234C71" w:rsidRPr="3B79DB25">
              <w:rPr>
                <w:color w:val="auto"/>
              </w:rPr>
              <w:t>inter-sex</w:t>
            </w:r>
            <w:r w:rsidRPr="3B79DB25">
              <w:rPr>
                <w:color w:val="auto"/>
              </w:rPr>
              <w:t>) or don’t identify with either of these sex options may feel excluded if no ‘other’ option is provided when EDI data is being collected for monitoring purposes during virtual or in person engagement.</w:t>
            </w:r>
          </w:p>
        </w:tc>
        <w:tc>
          <w:tcPr>
            <w:tcW w:w="4587" w:type="dxa"/>
          </w:tcPr>
          <w:p w14:paraId="79356269" w14:textId="0E7F2C85" w:rsidR="0013632F" w:rsidRPr="0013632F" w:rsidRDefault="0013632F" w:rsidP="3F333782">
            <w:pPr>
              <w:rPr>
                <w:color w:val="auto"/>
              </w:rPr>
            </w:pP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5D0AAC91" w14:textId="2A3AEAD1" w:rsidR="32DE02D3" w:rsidRDefault="32DE02D3" w:rsidP="3B79DB25">
      <w:pPr>
        <w:rPr>
          <w:color w:val="auto"/>
        </w:rPr>
      </w:pPr>
    </w:p>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3F333782">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3F333782">
        <w:trPr>
          <w:trHeight w:val="868"/>
        </w:trPr>
        <w:tc>
          <w:tcPr>
            <w:tcW w:w="2557" w:type="dxa"/>
            <w:vMerge/>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tcPr>
          <w:p w14:paraId="32904ACD" w14:textId="77777777" w:rsidR="007C4B67" w:rsidRPr="007C4B67" w:rsidRDefault="007C4B67" w:rsidP="007C4B67">
            <w:pPr>
              <w:rPr>
                <w:b/>
                <w:bCs/>
                <w:color w:val="auto"/>
              </w:rPr>
            </w:pPr>
          </w:p>
        </w:tc>
        <w:tc>
          <w:tcPr>
            <w:tcW w:w="4496" w:type="dxa"/>
            <w:vMerge/>
          </w:tcPr>
          <w:p w14:paraId="64925B0F" w14:textId="77777777" w:rsidR="007C4B67" w:rsidRPr="007C4B67" w:rsidRDefault="007C4B67" w:rsidP="007C4B67">
            <w:pPr>
              <w:rPr>
                <w:b/>
                <w:bCs/>
                <w:color w:val="auto"/>
              </w:rPr>
            </w:pPr>
          </w:p>
        </w:tc>
      </w:tr>
      <w:tr w:rsidR="00E904DF" w:rsidRPr="007C4B67" w14:paraId="50C298AA" w14:textId="77777777" w:rsidTr="3F333782">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 xml:space="preserve">(consider UK </w:t>
            </w:r>
            <w:r w:rsidRPr="007A2B49">
              <w:lastRenderedPageBreak/>
              <w:t>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0"/>
              <w14:checkedState w14:val="2612" w14:font="MS Gothic"/>
              <w14:uncheckedState w14:val="2610" w14:font="MS Gothic"/>
            </w14:checkbox>
          </w:sdtPr>
          <w:sdtEndPr/>
          <w:sdtContent>
            <w:tc>
              <w:tcPr>
                <w:tcW w:w="1138" w:type="dxa"/>
              </w:tcPr>
              <w:p w14:paraId="20F5F0A9" w14:textId="35E83DC5" w:rsidR="00E904DF" w:rsidRPr="00E904DF" w:rsidRDefault="00BB4B2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215E9618" w14:textId="3500409F" w:rsidR="00E904DF" w:rsidRPr="007C4B67" w:rsidRDefault="739CABCB" w:rsidP="597167A6">
            <w:pPr>
              <w:rPr>
                <w:color w:val="auto"/>
              </w:rPr>
            </w:pPr>
            <w:r w:rsidRPr="3F333782">
              <w:rPr>
                <w:color w:val="auto"/>
              </w:rPr>
              <w:t xml:space="preserve">Engagement: Some community members may not be able to travel to engagement events far </w:t>
            </w:r>
            <w:r w:rsidRPr="3F333782">
              <w:rPr>
                <w:color w:val="auto"/>
              </w:rPr>
              <w:lastRenderedPageBreak/>
              <w:t xml:space="preserve">from their place of residence. Recognising the distribution of HEPs across England and the location of research-intensive </w:t>
            </w:r>
            <w:proofErr w:type="gramStart"/>
            <w:r w:rsidRPr="3F333782">
              <w:rPr>
                <w:color w:val="auto"/>
              </w:rPr>
              <w:t>ones in particular, acknowledging</w:t>
            </w:r>
            <w:proofErr w:type="gramEnd"/>
            <w:r w:rsidRPr="3F333782">
              <w:rPr>
                <w:color w:val="auto"/>
              </w:rPr>
              <w:t xml:space="preserve"> their highest density in the London and South East region, this could have an impact on representative engagement of individuals.</w:t>
            </w:r>
          </w:p>
          <w:p w14:paraId="394762FE" w14:textId="0EFB64BC" w:rsidR="3F333782" w:rsidRDefault="3F333782" w:rsidP="3F333782">
            <w:pPr>
              <w:rPr>
                <w:color w:val="auto"/>
              </w:rPr>
            </w:pPr>
          </w:p>
          <w:p w14:paraId="161E4FC0" w14:textId="5EB9F234" w:rsidR="00E904DF" w:rsidRPr="007C4B67" w:rsidRDefault="739CABCB" w:rsidP="597167A6">
            <w:r w:rsidRPr="597167A6">
              <w:rPr>
                <w:color w:val="auto"/>
              </w:rPr>
              <w:t xml:space="preserve">RE formula </w:t>
            </w:r>
            <w:r w:rsidR="001B6664">
              <w:rPr>
                <w:color w:val="auto"/>
              </w:rPr>
              <w:t xml:space="preserve">KE </w:t>
            </w:r>
            <w:r w:rsidRPr="597167A6">
              <w:rPr>
                <w:color w:val="auto"/>
              </w:rPr>
              <w:t>funding is distributed across England, including all regions.</w:t>
            </w:r>
          </w:p>
        </w:tc>
        <w:tc>
          <w:tcPr>
            <w:tcW w:w="4496" w:type="dxa"/>
          </w:tcPr>
          <w:p w14:paraId="23E62FC0" w14:textId="55EC2F90" w:rsidR="00E904DF" w:rsidRPr="007C4B67" w:rsidRDefault="0491A66E" w:rsidP="597167A6">
            <w:pPr>
              <w:rPr>
                <w:color w:val="auto"/>
              </w:rPr>
            </w:pPr>
            <w:r w:rsidRPr="3F333782">
              <w:rPr>
                <w:color w:val="auto"/>
              </w:rPr>
              <w:lastRenderedPageBreak/>
              <w:t>If decided to have i</w:t>
            </w:r>
            <w:r w:rsidR="739CABCB" w:rsidRPr="3F333782">
              <w:rPr>
                <w:color w:val="auto"/>
              </w:rPr>
              <w:t>n-person engagement events</w:t>
            </w:r>
            <w:r w:rsidR="632388B5" w:rsidRPr="3F333782">
              <w:rPr>
                <w:color w:val="auto"/>
              </w:rPr>
              <w:t xml:space="preserve">, these </w:t>
            </w:r>
            <w:r w:rsidR="739CABCB" w:rsidRPr="3F333782">
              <w:rPr>
                <w:color w:val="auto"/>
              </w:rPr>
              <w:t xml:space="preserve">should either offer a hybrid </w:t>
            </w:r>
            <w:r w:rsidR="739CABCB" w:rsidRPr="3F333782">
              <w:rPr>
                <w:color w:val="auto"/>
              </w:rPr>
              <w:lastRenderedPageBreak/>
              <w:t>participation option or be organised in multiple regions of England to facilitate geographic representation of our community members.</w:t>
            </w:r>
          </w:p>
        </w:tc>
      </w:tr>
      <w:tr w:rsidR="00E904DF" w:rsidRPr="007C4B67" w14:paraId="0258738E" w14:textId="77777777" w:rsidTr="3F333782">
        <w:trPr>
          <w:trHeight w:val="382"/>
        </w:trPr>
        <w:tc>
          <w:tcPr>
            <w:tcW w:w="2557" w:type="dxa"/>
            <w:shd w:val="clear" w:color="auto" w:fill="D1DEFD" w:themeFill="accent3" w:themeFillTint="33"/>
          </w:tcPr>
          <w:p w14:paraId="54678946" w14:textId="77777777" w:rsidR="00E904DF" w:rsidRPr="007A2B49" w:rsidRDefault="00E904DF" w:rsidP="00623DB3">
            <w:r w:rsidRPr="007A2B49">
              <w:lastRenderedPageBreak/>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0"/>
              <w14:checkedState w14:val="2612" w14:font="MS Gothic"/>
              <w14:uncheckedState w14:val="2610" w14:font="MS Gothic"/>
            </w14:checkbox>
          </w:sdtPr>
          <w:sdtEndPr/>
          <w:sdtContent>
            <w:tc>
              <w:tcPr>
                <w:tcW w:w="1138" w:type="dxa"/>
              </w:tcPr>
              <w:p w14:paraId="56D14A64" w14:textId="3FF5A759"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234204DC" w:rsidR="00E904DF" w:rsidRPr="007C4B67" w:rsidRDefault="1A1DE826" w:rsidP="597167A6">
            <w:pPr>
              <w:rPr>
                <w:color w:val="auto"/>
              </w:rPr>
            </w:pPr>
            <w:r w:rsidRPr="00917FD0">
              <w:rPr>
                <w:b/>
                <w:bCs/>
                <w:color w:val="auto"/>
              </w:rPr>
              <w:t>Engagement:</w:t>
            </w:r>
            <w:r w:rsidRPr="597167A6">
              <w:rPr>
                <w:color w:val="auto"/>
              </w:rPr>
              <w:t xml:space="preserve"> Some </w:t>
            </w:r>
            <w:r w:rsidR="00815035" w:rsidRPr="00815035">
              <w:rPr>
                <w:color w:val="auto"/>
              </w:rPr>
              <w:t xml:space="preserve">institutions with fewer resources </w:t>
            </w:r>
            <w:r w:rsidRPr="597167A6">
              <w:rPr>
                <w:color w:val="auto"/>
              </w:rPr>
              <w:t xml:space="preserve">may not be able to travel to engagement events far from their place of </w:t>
            </w:r>
            <w:proofErr w:type="gramStart"/>
            <w:r w:rsidRPr="597167A6">
              <w:rPr>
                <w:color w:val="auto"/>
              </w:rPr>
              <w:t>residence</w:t>
            </w:r>
            <w:r w:rsidR="0066299D">
              <w:rPr>
                <w:color w:val="auto"/>
              </w:rPr>
              <w:t>, and</w:t>
            </w:r>
            <w:proofErr w:type="gramEnd"/>
            <w:r w:rsidR="0066299D">
              <w:rPr>
                <w:color w:val="auto"/>
              </w:rPr>
              <w:t xml:space="preserve"> therefore </w:t>
            </w:r>
            <w:r w:rsidR="0066299D" w:rsidRPr="0066299D">
              <w:rPr>
                <w:color w:val="auto"/>
              </w:rPr>
              <w:t>struggle to engage</w:t>
            </w:r>
            <w:r w:rsidRPr="597167A6">
              <w:rPr>
                <w:color w:val="auto"/>
              </w:rPr>
              <w:t>.</w:t>
            </w:r>
          </w:p>
        </w:tc>
        <w:tc>
          <w:tcPr>
            <w:tcW w:w="4496" w:type="dxa"/>
          </w:tcPr>
          <w:p w14:paraId="7C2DC12A" w14:textId="654DBCD8" w:rsidR="00E904DF" w:rsidRPr="007C4B67" w:rsidRDefault="1A1DE826" w:rsidP="597167A6">
            <w:pPr>
              <w:rPr>
                <w:color w:val="auto"/>
              </w:rPr>
            </w:pPr>
            <w:r w:rsidRPr="597167A6">
              <w:rPr>
                <w:color w:val="auto"/>
              </w:rPr>
              <w:t>In-person engagement events should either offer a hybrid participation option or be organised in multiple regions of England to facilitate representation of our community members from a range of socio-economic backgrounds.</w:t>
            </w:r>
          </w:p>
        </w:tc>
      </w:tr>
      <w:tr w:rsidR="00E904DF" w:rsidRPr="007C4B67" w14:paraId="6D8F83A7" w14:textId="77777777" w:rsidTr="3F333782">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End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0B15F772" w:rsidR="00E904DF" w:rsidRPr="007C4B67" w:rsidRDefault="0A85038A" w:rsidP="597167A6">
            <w:pPr>
              <w:rPr>
                <w:color w:val="auto"/>
              </w:rPr>
            </w:pPr>
            <w:r w:rsidRPr="597167A6">
              <w:rPr>
                <w:color w:val="auto"/>
              </w:rPr>
              <w:t>There is nothing to suggest that this characteristic will be impacted in the delivery of the HEIF Review.</w:t>
            </w:r>
          </w:p>
        </w:tc>
        <w:tc>
          <w:tcPr>
            <w:tcW w:w="4496" w:type="dxa"/>
          </w:tcPr>
          <w:p w14:paraId="0C4FD448" w14:textId="06BAD4B2" w:rsidR="00E904DF" w:rsidRPr="007C4B67" w:rsidRDefault="00E904DF" w:rsidP="597167A6">
            <w:pPr>
              <w:rPr>
                <w:color w:val="auto"/>
              </w:rPr>
            </w:pPr>
          </w:p>
        </w:tc>
      </w:tr>
      <w:tr w:rsidR="00E904DF" w:rsidRPr="007C4B67" w14:paraId="6B256C9A" w14:textId="77777777" w:rsidTr="3F333782">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0"/>
              <w14:checkedState w14:val="2612" w14:font="MS Gothic"/>
              <w14:uncheckedState w14:val="2610" w14:font="MS Gothic"/>
            </w14:checkbox>
          </w:sdtPr>
          <w:sdtEndPr/>
          <w:sdtContent>
            <w:tc>
              <w:tcPr>
                <w:tcW w:w="1138" w:type="dxa"/>
              </w:tcPr>
              <w:p w14:paraId="60D6A91C" w14:textId="7057E40F"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262272D0" w14:textId="2E3ECFA1" w:rsidR="00E904DF" w:rsidRPr="007C4B67" w:rsidRDefault="45E53372" w:rsidP="597167A6">
            <w:pPr>
              <w:rPr>
                <w:color w:val="auto"/>
              </w:rPr>
            </w:pPr>
            <w:r w:rsidRPr="3F333782">
              <w:rPr>
                <w:b/>
                <w:bCs/>
                <w:color w:val="auto"/>
              </w:rPr>
              <w:t>Comms and engagement:</w:t>
            </w:r>
            <w:r w:rsidRPr="3F333782">
              <w:rPr>
                <w:color w:val="auto"/>
              </w:rPr>
              <w:t xml:space="preserve"> There is a risk that </w:t>
            </w:r>
            <w:r w:rsidR="00D51E2F" w:rsidRPr="3F333782">
              <w:rPr>
                <w:color w:val="auto"/>
              </w:rPr>
              <w:t>HEI</w:t>
            </w:r>
            <w:r w:rsidRPr="3F333782">
              <w:rPr>
                <w:color w:val="auto"/>
              </w:rPr>
              <w:t>F Review activities could be scheduled for times when parents/guardians are less likely to be available e.g., August, post-4.00pm, which would reduce the input into the review from these groups. All parents may need breaks during virtual engagement to attend to their parenting responsibilities.</w:t>
            </w:r>
          </w:p>
        </w:tc>
        <w:tc>
          <w:tcPr>
            <w:tcW w:w="4496" w:type="dxa"/>
          </w:tcPr>
          <w:p w14:paraId="7F3F7EB4" w14:textId="1676B69C" w:rsidR="00E904DF" w:rsidRDefault="0B8F061D" w:rsidP="597167A6">
            <w:pPr>
              <w:rPr>
                <w:color w:val="auto"/>
              </w:rPr>
            </w:pPr>
            <w:r w:rsidRPr="597167A6">
              <w:rPr>
                <w:color w:val="auto"/>
              </w:rPr>
              <w:t>Spreading our comms and engagement activity throughout the year, inviting participants sufficiently in advance, and avoiding school holidays where possible will enable participation.</w:t>
            </w:r>
          </w:p>
          <w:p w14:paraId="101BCB7B" w14:textId="77777777" w:rsidR="00D51E2F" w:rsidRPr="007C4B67" w:rsidRDefault="00D51E2F" w:rsidP="597167A6">
            <w:pPr>
              <w:rPr>
                <w:color w:val="auto"/>
              </w:rPr>
            </w:pPr>
          </w:p>
          <w:p w14:paraId="34C94BF0" w14:textId="77777777" w:rsidR="00D51E2F" w:rsidRDefault="0B8F061D" w:rsidP="597167A6">
            <w:pPr>
              <w:rPr>
                <w:color w:val="auto"/>
              </w:rPr>
            </w:pPr>
            <w:r w:rsidRPr="597167A6">
              <w:rPr>
                <w:color w:val="auto"/>
              </w:rPr>
              <w:t xml:space="preserve">Stakeholder events and engagement opportunities will start after 10am and should finish before typical school pick up time. Timings of events should vary by day and time to allow flexibility and increase the likelihood that those with parent/guardian responsibilities can attend. </w:t>
            </w:r>
          </w:p>
          <w:p w14:paraId="3C38255D" w14:textId="77777777" w:rsidR="00D51E2F" w:rsidRDefault="00D51E2F" w:rsidP="597167A6">
            <w:pPr>
              <w:rPr>
                <w:color w:val="auto"/>
              </w:rPr>
            </w:pPr>
          </w:p>
          <w:p w14:paraId="129B4EA9" w14:textId="2973029E" w:rsidR="00E904DF" w:rsidRPr="007C4B67" w:rsidRDefault="0B8F061D" w:rsidP="597167A6">
            <w:pPr>
              <w:rPr>
                <w:color w:val="auto"/>
              </w:rPr>
            </w:pPr>
            <w:r w:rsidRPr="597167A6">
              <w:rPr>
                <w:color w:val="auto"/>
              </w:rPr>
              <w:lastRenderedPageBreak/>
              <w:t>Recordings of any information sessions should be made available after events to allow people to engage when convenient.</w:t>
            </w:r>
          </w:p>
        </w:tc>
      </w:tr>
      <w:tr w:rsidR="00E904DF" w:rsidRPr="007C4B67" w14:paraId="68CEEA75" w14:textId="77777777" w:rsidTr="3F333782">
        <w:trPr>
          <w:trHeight w:val="166"/>
        </w:trPr>
        <w:tc>
          <w:tcPr>
            <w:tcW w:w="2557" w:type="dxa"/>
            <w:shd w:val="clear" w:color="auto" w:fill="D1DEFD" w:themeFill="accent3" w:themeFillTint="33"/>
          </w:tcPr>
          <w:p w14:paraId="15C44D87" w14:textId="77777777" w:rsidR="00E904DF" w:rsidRPr="007A2B49" w:rsidRDefault="00E904DF" w:rsidP="00623DB3">
            <w:r w:rsidRPr="007A2B49">
              <w:lastRenderedPageBreak/>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0"/>
              <w14:checkedState w14:val="2612" w14:font="MS Gothic"/>
              <w14:uncheckedState w14:val="2610" w14:font="MS Gothic"/>
            </w14:checkbox>
          </w:sdtPr>
          <w:sdtEndPr/>
          <w:sdtContent>
            <w:tc>
              <w:tcPr>
                <w:tcW w:w="1138" w:type="dxa"/>
              </w:tcPr>
              <w:p w14:paraId="52DD0E89" w14:textId="04C20685"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359FA426" w:rsidR="00E904DF" w:rsidRPr="007C4B67" w:rsidRDefault="5DFA141A" w:rsidP="597167A6">
            <w:pPr>
              <w:rPr>
                <w:color w:val="auto"/>
              </w:rPr>
            </w:pPr>
            <w:r w:rsidRPr="00680ECF">
              <w:rPr>
                <w:b/>
                <w:bCs/>
                <w:color w:val="auto"/>
              </w:rPr>
              <w:t>Comms and engagement</w:t>
            </w:r>
            <w:r w:rsidRPr="597167A6">
              <w:rPr>
                <w:color w:val="auto"/>
              </w:rPr>
              <w:t xml:space="preserve">: Some carers care for adults but some – for school-aged children. In the latter case, there is a risk that </w:t>
            </w:r>
            <w:r w:rsidR="00680ECF">
              <w:rPr>
                <w:color w:val="auto"/>
              </w:rPr>
              <w:t>HEI</w:t>
            </w:r>
            <w:r w:rsidRPr="597167A6">
              <w:rPr>
                <w:color w:val="auto"/>
              </w:rPr>
              <w:t>F Review activities could be scheduled for times when such carers are less likely to be available e.g., August, post-4.00pm, which would reduce the input into the review from these groups. All carers may need breaks during virtual engagement to attend to their caring responsibilities.</w:t>
            </w:r>
          </w:p>
        </w:tc>
        <w:tc>
          <w:tcPr>
            <w:tcW w:w="4496" w:type="dxa"/>
          </w:tcPr>
          <w:p w14:paraId="404F49D7" w14:textId="4EE8B40E" w:rsidR="00E904DF" w:rsidRPr="007C4B67" w:rsidRDefault="5DFA141A" w:rsidP="597167A6">
            <w:pPr>
              <w:rPr>
                <w:color w:val="auto"/>
              </w:rPr>
            </w:pPr>
            <w:r w:rsidRPr="597167A6">
              <w:rPr>
                <w:color w:val="auto"/>
              </w:rPr>
              <w:t>Spreading our comms and engagement activity throughout the year, inviting participants sufficiently in advance, scheduling sufficient breaks and avoiding school holidays where possible will enable participation.</w:t>
            </w:r>
          </w:p>
          <w:p w14:paraId="219B95CF" w14:textId="08F743AF" w:rsidR="00E904DF" w:rsidRPr="007C4B67" w:rsidRDefault="5DFA141A" w:rsidP="597167A6">
            <w:r w:rsidRPr="597167A6">
              <w:rPr>
                <w:color w:val="auto"/>
              </w:rPr>
              <w:t>Stakeholder events and engagement opportunities will start after 10am and should finish before typical school pick up time. Timings of events should vary by day and time to allow flexibility and increase the likelihood that those with caring responsibilities can attend. Recordings of any information sessions should be made available after events to allow people to engage when convenient.</w:t>
            </w:r>
          </w:p>
        </w:tc>
      </w:tr>
      <w:tr w:rsidR="00E904DF" w:rsidRPr="007C4B67" w14:paraId="1DEBFCE4" w14:textId="77777777" w:rsidTr="3F333782">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7B2049E3" w:rsidR="00E904DF" w:rsidRPr="007C4B67" w:rsidRDefault="3F448D2B" w:rsidP="597167A6">
            <w:pPr>
              <w:spacing w:line="259" w:lineRule="auto"/>
              <w:rPr>
                <w:color w:val="auto"/>
              </w:rPr>
            </w:pPr>
            <w:r w:rsidRPr="597167A6">
              <w:rPr>
                <w:color w:val="auto"/>
              </w:rPr>
              <w:t>Comms and engagement: RE only funds English higher education providers. However, funders and sector members from devolved nations, including Northern Ireland, may be invited to some of the engagement events and access HEIF Review related comms.</w:t>
            </w:r>
          </w:p>
        </w:tc>
        <w:tc>
          <w:tcPr>
            <w:tcW w:w="4496" w:type="dxa"/>
          </w:tcPr>
          <w:p w14:paraId="06C71136" w14:textId="01508AC5" w:rsidR="00E904DF" w:rsidRPr="007C4B67" w:rsidRDefault="3F448D2B" w:rsidP="597167A6">
            <w:pPr>
              <w:spacing w:line="259" w:lineRule="auto"/>
              <w:rPr>
                <w:color w:val="auto"/>
              </w:rPr>
            </w:pPr>
            <w:r w:rsidRPr="597167A6">
              <w:rPr>
                <w:color w:val="auto"/>
              </w:rPr>
              <w:t>Participation of Northern Irish stakeholders in any HEIF review events will be planned in an inclusive way, regardless of their political opinions. Code of Conduct of all events will require respect of all participants towards all participants, regardless of where they are on the political spectrum.</w:t>
            </w:r>
          </w:p>
        </w:tc>
      </w:tr>
      <w:tr w:rsidR="00E904DF" w:rsidRPr="007C4B67" w14:paraId="3A524ABB" w14:textId="77777777" w:rsidTr="3F333782">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2EC60C2A" w:rsidR="00E904DF" w:rsidRPr="007C4B67" w:rsidRDefault="43427E51" w:rsidP="3F333782">
            <w:pPr>
              <w:rPr>
                <w:i/>
                <w:iCs/>
                <w:color w:val="auto"/>
              </w:rPr>
            </w:pPr>
            <w:r w:rsidRPr="3F333782">
              <w:rPr>
                <w:i/>
                <w:iCs/>
                <w:color w:val="auto"/>
              </w:rPr>
              <w:t>None identified.</w:t>
            </w:r>
          </w:p>
        </w:tc>
        <w:tc>
          <w:tcPr>
            <w:tcW w:w="4496" w:type="dxa"/>
          </w:tcPr>
          <w:p w14:paraId="2E9C3963" w14:textId="77777777" w:rsidR="00E904DF" w:rsidRPr="007C4B67" w:rsidRDefault="00E904DF" w:rsidP="00E904DF">
            <w:pPr>
              <w:rPr>
                <w:bCs/>
                <w:color w:val="auto"/>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796"/>
        <w:gridCol w:w="8562"/>
      </w:tblGrid>
      <w:tr w:rsidR="32DE02D3" w14:paraId="2020FF6B" w14:textId="77777777" w:rsidTr="3B79DB25">
        <w:trPr>
          <w:trHeight w:val="3378"/>
        </w:trPr>
        <w:tc>
          <w:tcPr>
            <w:tcW w:w="5277" w:type="dxa"/>
            <w:shd w:val="clear" w:color="auto" w:fill="D1DEFD" w:themeFill="accent3" w:themeFillTint="33"/>
          </w:tcPr>
          <w:p w14:paraId="560A9F21" w14:textId="1C81E5E1" w:rsidR="32DE02D3" w:rsidRDefault="32DE02D3">
            <w:r>
              <w:lastRenderedPageBreak/>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57DCAC84" w14:textId="09A0C88E" w:rsidR="32DE02D3" w:rsidRDefault="32DE02D3"/>
          <w:p w14:paraId="19E4E9E7" w14:textId="72BC8077" w:rsidR="32DE02D3" w:rsidRDefault="5DCF5198" w:rsidP="3F333782">
            <w:pPr>
              <w:rPr>
                <w:rFonts w:eastAsia="Arial" w:cs="Arial"/>
                <w:color w:val="595959" w:themeColor="text1" w:themeTint="A6"/>
                <w:sz w:val="24"/>
                <w:szCs w:val="24"/>
              </w:rPr>
            </w:pPr>
            <w:r w:rsidRPr="3F333782">
              <w:rPr>
                <w:rFonts w:eastAsia="Arial" w:cs="Arial"/>
                <w:color w:val="auto"/>
                <w:sz w:val="24"/>
                <w:szCs w:val="24"/>
              </w:rPr>
              <w:t>The HEIF Review focuses on institutional-level funding policy rather than individual awards. Direct impact on individuals is limited, but indirect impacts may arise through changes to funding distribution, which could affect opportunities for underrepresented groups in KE roles and activities.</w:t>
            </w:r>
          </w:p>
          <w:p w14:paraId="099DFB8D" w14:textId="10D9F53A" w:rsidR="32DE02D3" w:rsidRDefault="5DCF5198" w:rsidP="3F333782">
            <w:pPr>
              <w:rPr>
                <w:rFonts w:eastAsia="Arial" w:cs="Arial"/>
                <w:b/>
                <w:bCs/>
                <w:color w:val="595959" w:themeColor="text1" w:themeTint="A6"/>
                <w:sz w:val="24"/>
                <w:szCs w:val="24"/>
              </w:rPr>
            </w:pPr>
            <w:r w:rsidRPr="3F333782">
              <w:rPr>
                <w:rFonts w:eastAsia="Arial" w:cs="Arial"/>
                <w:b/>
                <w:bCs/>
                <w:color w:val="auto"/>
                <w:sz w:val="24"/>
                <w:szCs w:val="24"/>
              </w:rPr>
              <w:t>Risks:</w:t>
            </w:r>
          </w:p>
          <w:p w14:paraId="697089B6" w14:textId="55CC61FB" w:rsidR="32DE02D3" w:rsidRDefault="33AE4E8C" w:rsidP="3F333782">
            <w:pPr>
              <w:numPr>
                <w:ilvl w:val="0"/>
                <w:numId w:val="2"/>
              </w:numPr>
              <w:rPr>
                <w:rFonts w:eastAsia="Arial" w:cs="Arial"/>
                <w:color w:val="595959" w:themeColor="text1" w:themeTint="A6"/>
                <w:sz w:val="24"/>
                <w:szCs w:val="24"/>
              </w:rPr>
            </w:pPr>
            <w:r w:rsidRPr="3F333782">
              <w:rPr>
                <w:rFonts w:eastAsia="Arial" w:cs="Arial"/>
                <w:b/>
                <w:bCs/>
                <w:color w:val="auto"/>
                <w:sz w:val="24"/>
                <w:szCs w:val="24"/>
              </w:rPr>
              <w:t>Exclusion in consultation</w:t>
            </w:r>
            <w:r w:rsidRPr="3F333782">
              <w:rPr>
                <w:rFonts w:eastAsia="Arial" w:cs="Arial"/>
                <w:color w:val="auto"/>
                <w:sz w:val="24"/>
                <w:szCs w:val="24"/>
              </w:rPr>
              <w:t xml:space="preserve"> if engagement events are not accessible or inclusive.</w:t>
            </w:r>
          </w:p>
          <w:p w14:paraId="1426A755" w14:textId="5442F48D" w:rsidR="32DE02D3" w:rsidRDefault="33AE4E8C" w:rsidP="3F333782">
            <w:pPr>
              <w:numPr>
                <w:ilvl w:val="0"/>
                <w:numId w:val="2"/>
              </w:numPr>
              <w:rPr>
                <w:rFonts w:eastAsia="Arial" w:cs="Arial"/>
                <w:color w:val="595959" w:themeColor="text1" w:themeTint="A6"/>
                <w:sz w:val="24"/>
                <w:szCs w:val="24"/>
              </w:rPr>
            </w:pPr>
            <w:r w:rsidRPr="3F333782">
              <w:rPr>
                <w:rFonts w:eastAsia="Arial" w:cs="Arial"/>
                <w:b/>
                <w:bCs/>
                <w:color w:val="auto"/>
                <w:sz w:val="24"/>
                <w:szCs w:val="24"/>
              </w:rPr>
              <w:t>Unintended bias</w:t>
            </w:r>
            <w:r w:rsidRPr="3F333782">
              <w:rPr>
                <w:rFonts w:eastAsia="Arial" w:cs="Arial"/>
                <w:color w:val="auto"/>
                <w:sz w:val="24"/>
                <w:szCs w:val="24"/>
              </w:rPr>
              <w:t xml:space="preserve"> if formula changes disproportionately benefit certain types of institutions (e.g., research-intensive vs. smaller or specialist providers).</w:t>
            </w:r>
          </w:p>
          <w:p w14:paraId="7E5E15BC" w14:textId="0D51A30E" w:rsidR="32DE02D3" w:rsidRDefault="5DCF5198" w:rsidP="3F333782">
            <w:pPr>
              <w:rPr>
                <w:rFonts w:eastAsia="Arial" w:cs="Arial"/>
                <w:b/>
                <w:bCs/>
                <w:color w:val="595959" w:themeColor="text1" w:themeTint="A6"/>
                <w:sz w:val="24"/>
                <w:szCs w:val="24"/>
              </w:rPr>
            </w:pPr>
            <w:r w:rsidRPr="3F333782">
              <w:rPr>
                <w:rFonts w:eastAsia="Arial" w:cs="Arial"/>
                <w:b/>
                <w:bCs/>
                <w:color w:val="auto"/>
                <w:sz w:val="24"/>
                <w:szCs w:val="24"/>
              </w:rPr>
              <w:t>Actions:</w:t>
            </w:r>
          </w:p>
          <w:p w14:paraId="4A8F42D7" w14:textId="5A938D27" w:rsidR="32DE02D3" w:rsidRDefault="5DCF5198" w:rsidP="3F333782">
            <w:pPr>
              <w:numPr>
                <w:ilvl w:val="0"/>
                <w:numId w:val="1"/>
              </w:numPr>
              <w:rPr>
                <w:rFonts w:eastAsia="Arial" w:cs="Arial"/>
                <w:color w:val="595959" w:themeColor="text1" w:themeTint="A6"/>
                <w:sz w:val="24"/>
                <w:szCs w:val="24"/>
              </w:rPr>
            </w:pPr>
            <w:r w:rsidRPr="3F333782">
              <w:rPr>
                <w:rFonts w:eastAsia="Arial" w:cs="Arial"/>
                <w:color w:val="auto"/>
                <w:sz w:val="24"/>
                <w:szCs w:val="24"/>
              </w:rPr>
              <w:t>Ensure engagement activities are accessible (hybrid options, captioning, varied timings).</w:t>
            </w:r>
          </w:p>
          <w:p w14:paraId="65D5904A" w14:textId="77EA18A4" w:rsidR="32DE02D3" w:rsidRDefault="5DCF5198" w:rsidP="3F333782">
            <w:pPr>
              <w:numPr>
                <w:ilvl w:val="0"/>
                <w:numId w:val="1"/>
              </w:numPr>
              <w:rPr>
                <w:rFonts w:eastAsia="Arial" w:cs="Arial"/>
                <w:color w:val="595959" w:themeColor="text1" w:themeTint="A6"/>
                <w:sz w:val="24"/>
                <w:szCs w:val="24"/>
              </w:rPr>
            </w:pPr>
            <w:r w:rsidRPr="3F333782">
              <w:rPr>
                <w:rFonts w:eastAsia="Arial" w:cs="Arial"/>
                <w:color w:val="auto"/>
                <w:sz w:val="24"/>
                <w:szCs w:val="24"/>
              </w:rPr>
              <w:t>Use inclusive communication formats and avoid scheduling during major religious or school holidays.</w:t>
            </w:r>
          </w:p>
          <w:p w14:paraId="19F893CA" w14:textId="76116A40" w:rsidR="32DE02D3" w:rsidRDefault="5DCF5198" w:rsidP="3F333782">
            <w:pPr>
              <w:numPr>
                <w:ilvl w:val="0"/>
                <w:numId w:val="1"/>
              </w:numPr>
              <w:rPr>
                <w:rFonts w:eastAsia="Arial" w:cs="Arial"/>
                <w:color w:val="595959" w:themeColor="text1" w:themeTint="A6"/>
                <w:sz w:val="24"/>
                <w:szCs w:val="24"/>
              </w:rPr>
            </w:pPr>
            <w:r w:rsidRPr="3F333782">
              <w:rPr>
                <w:rFonts w:eastAsia="Arial" w:cs="Arial"/>
                <w:color w:val="auto"/>
                <w:sz w:val="24"/>
                <w:szCs w:val="24"/>
              </w:rPr>
              <w:t>Monitor representation of institutions consulted (e.g., by size, region, mission group).</w:t>
            </w:r>
          </w:p>
          <w:p w14:paraId="6CDD97B5" w14:textId="0B94100C" w:rsidR="32DE02D3" w:rsidRDefault="32DE02D3" w:rsidP="32DE02D3"/>
          <w:p w14:paraId="1FCE6132" w14:textId="77777777" w:rsidR="32DE02D3" w:rsidRDefault="32DE02D3" w:rsidP="32DE02D3">
            <w:pPr>
              <w:rPr>
                <w:i/>
                <w:iCs/>
              </w:rPr>
            </w:pPr>
          </w:p>
          <w:p w14:paraId="4CAF1008" w14:textId="74F89542" w:rsidR="32DE02D3" w:rsidRDefault="32DE02D3" w:rsidP="32DE02D3">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20"/>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20"/>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5ED300DE" w:rsidR="009A5E6A" w:rsidRPr="009A5E6A" w:rsidRDefault="00FC13CE" w:rsidP="009A5E6A">
                <w:pPr>
                  <w:rPr>
                    <w:b/>
                  </w:rPr>
                </w:pPr>
                <w:r>
                  <w:rPr>
                    <w:rFonts w:ascii="MS Gothic" w:eastAsia="MS Gothic" w:hAnsi="MS Gothic" w:cs="Arial" w:hint="eastAsia"/>
                    <w:color w:val="000000" w:themeColor="text1"/>
                    <w:sz w:val="40"/>
                    <w:szCs w:val="40"/>
                  </w:rPr>
                  <w:t>☒</w:t>
                </w:r>
              </w:p>
            </w:tc>
          </w:sdtContent>
        </w:sdt>
        <w:tc>
          <w:tcPr>
            <w:tcW w:w="6804" w:type="dxa"/>
          </w:tcPr>
          <w:p w14:paraId="5E494043" w14:textId="4E0AE4F2" w:rsidR="008919DB" w:rsidRDefault="008919DB" w:rsidP="008919DB">
            <w:pPr>
              <w:pStyle w:val="Default"/>
            </w:pPr>
            <w:r>
              <w:t xml:space="preserve">As we are intending for this EIA to be a live document, we currently have no evidence to suggest that the HEIF Review should not proceed at this stage. We will review and update this EIA periodically in the delivery of the HEIF Review, adapting how we conduct the Review if needed. </w:t>
            </w:r>
          </w:p>
          <w:p w14:paraId="06B81F0A" w14:textId="7DF1C860" w:rsidR="009A5E6A" w:rsidRPr="00F83734" w:rsidRDefault="009A5E6A" w:rsidP="009A5E6A">
            <w:pPr>
              <w:rPr>
                <w:bCs/>
              </w:rPr>
            </w:pP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20"/>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20"/>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8"/>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3B79DB25">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58D79B2C" w14:textId="7FFBE561" w:rsidR="00FD3401" w:rsidRDefault="00FD3401" w:rsidP="3B79DB25">
            <w:pPr>
              <w:rPr>
                <w:color w:val="3B3838" w:themeColor="background2" w:themeShade="40"/>
              </w:rPr>
            </w:pPr>
          </w:p>
          <w:p w14:paraId="11B33D6E" w14:textId="1522FF75" w:rsidR="00FD3401" w:rsidRDefault="1C6F29AD" w:rsidP="3F333782">
            <w:pPr>
              <w:rPr>
                <w:color w:val="auto"/>
              </w:rPr>
            </w:pPr>
            <w:r w:rsidRPr="3B79DB25">
              <w:rPr>
                <w:color w:val="auto"/>
              </w:rPr>
              <w:t xml:space="preserve">As the review progresses, we will monitor how the HEIF review activity enables participation across EDI characteristics. We will schedule regular reviews of this EIA, using the internal HEIF Review </w:t>
            </w:r>
            <w:r w:rsidR="7A050088" w:rsidRPr="3B79DB25">
              <w:rPr>
                <w:color w:val="auto"/>
              </w:rPr>
              <w:t>Working</w:t>
            </w:r>
            <w:r w:rsidRPr="3B79DB25">
              <w:rPr>
                <w:color w:val="auto"/>
              </w:rPr>
              <w:t xml:space="preserve"> Group </w:t>
            </w:r>
            <w:r w:rsidR="4FF33404" w:rsidRPr="3B79DB25">
              <w:rPr>
                <w:color w:val="auto"/>
              </w:rPr>
              <w:t xml:space="preserve">and HEIF Review Expert Group </w:t>
            </w:r>
            <w:r w:rsidRPr="3B79DB25">
              <w:rPr>
                <w:color w:val="auto"/>
              </w:rPr>
              <w:t>as a forum to consider and implement updates. Long-term, i.e. starting in 2026, we will also evaluate the impact of our delivery of the HEIF Review.</w:t>
            </w:r>
          </w:p>
          <w:p w14:paraId="412E01AD" w14:textId="6F1077E6" w:rsidR="3F333782" w:rsidRDefault="3F333782" w:rsidP="3F333782">
            <w:pPr>
              <w:rPr>
                <w:color w:val="auto"/>
              </w:rPr>
            </w:pPr>
          </w:p>
          <w:p w14:paraId="204C4CD8" w14:textId="1CFA0ABE" w:rsidR="4F855749" w:rsidRDefault="4F855749" w:rsidP="3F333782">
            <w:pPr>
              <w:rPr>
                <w:color w:val="auto"/>
              </w:rPr>
            </w:pPr>
            <w:r w:rsidRPr="3F333782">
              <w:rPr>
                <w:color w:val="auto"/>
              </w:rPr>
              <w:t>A full description of the Expert Group membership, including representation considerations, will be added once the group is confirmed (expected February 2026).</w:t>
            </w:r>
          </w:p>
          <w:p w14:paraId="4F08A30C" w14:textId="77777777" w:rsidR="00FB52B3" w:rsidRDefault="00FB52B3" w:rsidP="3F333782">
            <w:pPr>
              <w:rPr>
                <w:color w:val="auto"/>
              </w:rPr>
            </w:pPr>
          </w:p>
          <w:p w14:paraId="2448531E" w14:textId="7FE6A9AF" w:rsidR="00FD3401" w:rsidRDefault="1C6F29AD" w:rsidP="3F333782">
            <w:pPr>
              <w:rPr>
                <w:color w:val="auto"/>
              </w:rPr>
            </w:pPr>
            <w:r w:rsidRPr="3B79DB25">
              <w:rPr>
                <w:color w:val="auto"/>
              </w:rPr>
              <w:t>The first version of the EIA is going to be published on our externally facing HEIF web page. We will use it as a living document throughout the delivery of the review, updating when our monitoring of impacts requires it. Following the conclusion of the HEIF Review, we will also publish the most recent EIA as one of the outputs of the review.</w:t>
            </w:r>
          </w:p>
          <w:p w14:paraId="7168CB66" w14:textId="77777777" w:rsidR="00FB52B3" w:rsidRDefault="00FB52B3" w:rsidP="00FD3401"/>
          <w:p w14:paraId="675594D9" w14:textId="718CCAD0" w:rsidR="00FD3401" w:rsidRPr="00CD32EF" w:rsidRDefault="1C6F29AD" w:rsidP="3F333782">
            <w:pPr>
              <w:rPr>
                <w:color w:val="auto"/>
              </w:rPr>
            </w:pPr>
            <w:r w:rsidRPr="3B79DB25">
              <w:rPr>
                <w:color w:val="auto"/>
              </w:rPr>
              <w:t>We will engage periodically with the RE EDI Expert Advisory Group on our EIA and embed EDI considerations within all of activity connected to the delivery of the HEIF Review.</w:t>
            </w:r>
          </w:p>
          <w:p w14:paraId="234B7EDF" w14:textId="77777777" w:rsidR="00CD32EF" w:rsidRPr="00CD32EF" w:rsidRDefault="00CD32EF" w:rsidP="00CD32EF">
            <w:pPr>
              <w:rPr>
                <w:i/>
                <w:iCs/>
              </w:rPr>
            </w:pPr>
          </w:p>
          <w:p w14:paraId="224F01DD" w14:textId="77777777" w:rsidR="00CD32EF" w:rsidRPr="00CD32EF" w:rsidRDefault="00CD32EF" w:rsidP="00CD32EF"/>
        </w:tc>
      </w:tr>
      <w:tr w:rsidR="00CD32EF" w:rsidRPr="00CD32EF" w14:paraId="0D14EC66" w14:textId="77777777" w:rsidTr="3B79DB25">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16E1ABA3" w:rsidR="00CD32EF" w:rsidRPr="00CD32EF" w:rsidRDefault="7E7C5CC5" w:rsidP="3B79DB25">
            <w:pPr>
              <w:rPr>
                <w:i/>
                <w:iCs/>
              </w:rPr>
            </w:pPr>
            <w:r w:rsidRPr="3B79DB25">
              <w:rPr>
                <w:i/>
                <w:iCs/>
              </w:rPr>
              <w:t>2</w:t>
            </w:r>
            <w:r w:rsidR="00F13B42">
              <w:rPr>
                <w:i/>
                <w:iCs/>
              </w:rPr>
              <w:t>9</w:t>
            </w:r>
            <w:r w:rsidRPr="3B79DB25">
              <w:rPr>
                <w:i/>
                <w:iCs/>
              </w:rPr>
              <w:t xml:space="preserve"> </w:t>
            </w:r>
            <w:r w:rsidR="00F13B42">
              <w:rPr>
                <w:i/>
                <w:iCs/>
              </w:rPr>
              <w:t>June</w:t>
            </w:r>
            <w:r w:rsidR="47261A7C" w:rsidRPr="3B79DB25">
              <w:rPr>
                <w:i/>
                <w:iCs/>
              </w:rPr>
              <w:t xml:space="preserve"> 2026</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3B79DB25">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6A69A657" w:rsidR="008A1D09" w:rsidRPr="006215A1" w:rsidRDefault="2AB4FD52" w:rsidP="3B79DB25">
            <w:pPr>
              <w:spacing w:line="259" w:lineRule="auto"/>
              <w:rPr>
                <w:rFonts w:asciiTheme="minorHAnsi" w:eastAsiaTheme="minorEastAsia" w:hAnsiTheme="minorHAnsi"/>
                <w:color w:val="000000" w:themeColor="text1"/>
                <w:sz w:val="24"/>
                <w:szCs w:val="24"/>
              </w:rPr>
            </w:pPr>
            <w:r w:rsidRPr="3B79DB25">
              <w:rPr>
                <w:rFonts w:asciiTheme="minorHAnsi" w:eastAsiaTheme="minorEastAsia" w:hAnsiTheme="minorHAnsi"/>
                <w:color w:val="000000" w:themeColor="text1"/>
                <w:sz w:val="24"/>
                <w:szCs w:val="24"/>
              </w:rPr>
              <w:t>Yes</w:t>
            </w:r>
          </w:p>
          <w:p w14:paraId="5C620FC5" w14:textId="51AF99E9" w:rsidR="008A1D09" w:rsidRPr="008A1D09" w:rsidRDefault="008A1D09" w:rsidP="3B79DB25"/>
        </w:tc>
      </w:tr>
      <w:tr w:rsidR="008A1D09" w:rsidRPr="008A1D09" w14:paraId="7FFBF3FA" w14:textId="77777777" w:rsidTr="3B79DB25">
        <w:trPr>
          <w:trHeight w:val="839"/>
        </w:trPr>
        <w:tc>
          <w:tcPr>
            <w:tcW w:w="5382" w:type="dxa"/>
            <w:shd w:val="clear" w:color="auto" w:fill="D1DEFD" w:themeFill="accent3" w:themeFillTint="33"/>
          </w:tcPr>
          <w:p w14:paraId="6277F3C7" w14:textId="106D8625" w:rsidR="008A1D09" w:rsidRPr="008A1D09" w:rsidRDefault="2AB4FD52" w:rsidP="008A1D09">
            <w:r w:rsidRPr="3B79DB25">
              <w:rPr>
                <w:rFonts w:asciiTheme="minorHAnsi" w:eastAsiaTheme="minorEastAsia" w:hAnsiTheme="minorHAnsi"/>
                <w:color w:val="000000" w:themeColor="text1"/>
                <w:sz w:val="24"/>
                <w:szCs w:val="24"/>
              </w:rPr>
              <w:t>Point of contact</w:t>
            </w:r>
            <w:r w:rsidR="00EBD2F4" w:rsidRPr="3B79DB25">
              <w:rPr>
                <w:rFonts w:asciiTheme="minorHAnsi" w:eastAsiaTheme="minorEastAsia" w:hAnsiTheme="minorHAnsi"/>
                <w:color w:val="000000" w:themeColor="text1"/>
                <w:sz w:val="24"/>
                <w:szCs w:val="24"/>
              </w:rPr>
              <w:t xml:space="preserve"> </w:t>
            </w:r>
          </w:p>
        </w:tc>
        <w:tc>
          <w:tcPr>
            <w:tcW w:w="9497" w:type="dxa"/>
          </w:tcPr>
          <w:p w14:paraId="261A0AF8" w14:textId="1540ACB5" w:rsidR="005C0AD6" w:rsidRDefault="31158014" w:rsidP="3B79DB25">
            <w:r w:rsidRPr="3B79DB25">
              <w:rPr>
                <w:rFonts w:asciiTheme="minorHAnsi" w:eastAsiaTheme="minorEastAsia" w:hAnsiTheme="minorHAnsi"/>
                <w:color w:val="000000" w:themeColor="text1"/>
                <w:sz w:val="24"/>
                <w:szCs w:val="24"/>
              </w:rPr>
              <w:t>Rhys Perry, Head of Data and Evidence</w:t>
            </w:r>
          </w:p>
          <w:p w14:paraId="7B5B84CE" w14:textId="2A71E329" w:rsidR="005C0AD6" w:rsidRDefault="10FE3CA6" w:rsidP="3B79DB25">
            <w:r w:rsidRPr="3B79DB25">
              <w:rPr>
                <w:rFonts w:asciiTheme="minorHAnsi" w:eastAsiaTheme="minorEastAsia" w:hAnsiTheme="minorHAnsi"/>
                <w:color w:val="000000" w:themeColor="text1"/>
                <w:sz w:val="24"/>
                <w:szCs w:val="24"/>
              </w:rPr>
              <w:t xml:space="preserve">Jessica Lucia, </w:t>
            </w:r>
            <w:r w:rsidR="7206D54F" w:rsidRPr="3B79DB25">
              <w:rPr>
                <w:rFonts w:asciiTheme="minorHAnsi" w:eastAsiaTheme="minorEastAsia" w:hAnsiTheme="minorHAnsi"/>
                <w:color w:val="000000" w:themeColor="text1"/>
                <w:sz w:val="24"/>
                <w:szCs w:val="24"/>
              </w:rPr>
              <w:t xml:space="preserve">Senior Policy Advisor, Research England </w:t>
            </w:r>
          </w:p>
          <w:p w14:paraId="2ED01680" w14:textId="2AA897BE" w:rsidR="008A1D09" w:rsidRPr="00F13B42" w:rsidRDefault="7206D54F" w:rsidP="3B79DB25">
            <w:pPr>
              <w:rPr>
                <w:rFonts w:asciiTheme="minorHAnsi" w:eastAsiaTheme="minorEastAsia" w:hAnsiTheme="minorHAnsi"/>
                <w:b/>
                <w:bCs/>
                <w:color w:val="000000" w:themeColor="text1"/>
                <w:sz w:val="24"/>
                <w:szCs w:val="24"/>
              </w:rPr>
            </w:pPr>
            <w:r w:rsidRPr="00F13B42">
              <w:rPr>
                <w:rFonts w:asciiTheme="minorHAnsi" w:eastAsiaTheme="minorEastAsia" w:hAnsiTheme="minorHAnsi"/>
                <w:b/>
                <w:bCs/>
                <w:color w:val="000000" w:themeColor="text1"/>
                <w:sz w:val="24"/>
                <w:szCs w:val="24"/>
              </w:rPr>
              <w:t xml:space="preserve">Email: </w:t>
            </w:r>
            <w:r w:rsidR="7C62B56C" w:rsidRPr="00F13B42">
              <w:rPr>
                <w:rFonts w:asciiTheme="minorHAnsi" w:eastAsiaTheme="minorEastAsia" w:hAnsiTheme="minorHAnsi"/>
                <w:b/>
                <w:bCs/>
                <w:color w:val="000000" w:themeColor="text1"/>
                <w:sz w:val="24"/>
                <w:szCs w:val="24"/>
              </w:rPr>
              <w:t>kepolicy@re.ukri.org</w:t>
            </w:r>
          </w:p>
        </w:tc>
      </w:tr>
      <w:tr w:rsidR="008A1D09" w:rsidRPr="008A1D09" w14:paraId="40BBFF79" w14:textId="77777777" w:rsidTr="3B79DB25">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lastRenderedPageBreak/>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4B98178E" w:rsidR="008A1D09" w:rsidRPr="008A1D09" w:rsidRDefault="56EC347E" w:rsidP="3B79DB25">
            <w:pPr>
              <w:rPr>
                <w:rFonts w:asciiTheme="minorHAnsi" w:eastAsiaTheme="minorEastAsia" w:hAnsiTheme="minorHAnsi"/>
                <w:color w:val="000000" w:themeColor="text1"/>
                <w:sz w:val="24"/>
                <w:szCs w:val="24"/>
              </w:rPr>
            </w:pPr>
            <w:r w:rsidRPr="3B79DB25">
              <w:rPr>
                <w:rFonts w:asciiTheme="minorHAnsi" w:eastAsiaTheme="minorEastAsia" w:hAnsiTheme="minorHAnsi"/>
                <w:color w:val="000000" w:themeColor="text1"/>
                <w:sz w:val="24"/>
                <w:szCs w:val="24"/>
              </w:rPr>
              <w:t>Ellen Bamford, Associate Director KE Data and Evidence</w:t>
            </w:r>
          </w:p>
        </w:tc>
      </w:tr>
      <w:tr w:rsidR="008A1D09" w:rsidRPr="008A1D09" w14:paraId="69669229" w14:textId="77777777" w:rsidTr="3B79DB25">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65DE8411" w:rsidP="3B79DB25">
            <w:pPr>
              <w:jc w:val="center"/>
              <w:rPr>
                <w:b/>
                <w:bCs/>
              </w:rPr>
            </w:pPr>
            <w:r w:rsidRPr="3B79DB25">
              <w:rPr>
                <w:b/>
                <w:bCs/>
              </w:rPr>
              <w:t>Once your EIA is c</w:t>
            </w:r>
            <w:r w:rsidR="2AB4FD52" w:rsidRPr="3B79DB25">
              <w:rPr>
                <w:b/>
                <w:bCs/>
              </w:rPr>
              <w:t>ompleted</w:t>
            </w:r>
            <w:r w:rsidRPr="3B79DB25">
              <w:rPr>
                <w:b/>
                <w:bCs/>
              </w:rPr>
              <w:t xml:space="preserve"> or updated:</w:t>
            </w:r>
          </w:p>
          <w:p w14:paraId="5F4C9E66" w14:textId="2ADE29AA" w:rsidR="008A1D09" w:rsidRPr="006141A9" w:rsidRDefault="006141A9" w:rsidP="006141A9">
            <w:pPr>
              <w:pStyle w:val="ListParagraph"/>
              <w:numPr>
                <w:ilvl w:val="0"/>
                <w:numId w:val="32"/>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3B79DB25">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3B79DB25">
              <w:rPr>
                <w:b/>
                <w:bCs/>
              </w:rPr>
            </w:r>
            <w:r w:rsidR="000D0DD2" w:rsidRPr="3B79DB25">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3B79DB25">
            <w:pPr>
              <w:jc w:val="center"/>
              <w:rPr>
                <w:b/>
                <w:bCs/>
              </w:rPr>
            </w:pPr>
            <w:r w:rsidRPr="3B79DB25">
              <w:rPr>
                <w:b/>
                <w:bCs/>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programmes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Change log</w:t>
      </w:r>
      <w:bookmarkEnd w:id="9"/>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3B79DB25">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3B79DB25">
        <w:trPr>
          <w:cantSplit/>
        </w:trPr>
        <w:tc>
          <w:tcPr>
            <w:tcW w:w="880" w:type="pct"/>
          </w:tcPr>
          <w:p w14:paraId="3734EB6B" w14:textId="4BED9481" w:rsidR="00A327BC" w:rsidRPr="003C013C" w:rsidRDefault="009F661E" w:rsidP="00823025">
            <w:pPr>
              <w:rPr>
                <w:rFonts w:cs="Arial"/>
                <w:color w:val="000000" w:themeColor="text1"/>
              </w:rPr>
            </w:pPr>
            <w:r>
              <w:rPr>
                <w:rFonts w:cs="Arial"/>
                <w:color w:val="000000" w:themeColor="text1"/>
              </w:rPr>
              <w:t>First version of HEIF Review EIA published</w:t>
            </w:r>
          </w:p>
        </w:tc>
        <w:tc>
          <w:tcPr>
            <w:tcW w:w="590" w:type="pct"/>
          </w:tcPr>
          <w:p w14:paraId="0438313B" w14:textId="7059E980" w:rsidR="00A327BC" w:rsidRPr="003C013C" w:rsidRDefault="3439ED6B" w:rsidP="00823025">
            <w:pPr>
              <w:rPr>
                <w:rFonts w:cs="Arial"/>
                <w:color w:val="000000" w:themeColor="text1"/>
              </w:rPr>
            </w:pPr>
            <w:r w:rsidRPr="3B79DB25">
              <w:rPr>
                <w:rFonts w:cs="Arial"/>
                <w:color w:val="000000" w:themeColor="text1"/>
              </w:rPr>
              <w:t>Feb/2026</w:t>
            </w: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78AF8F2" w:rsidR="00A327BC" w:rsidRPr="00793AC2" w:rsidRDefault="00793AC2" w:rsidP="00793AC2">
            <w:pPr>
              <w:pStyle w:val="Default"/>
              <w:rPr>
                <w:sz w:val="23"/>
                <w:szCs w:val="23"/>
              </w:rPr>
            </w:pPr>
            <w:r>
              <w:rPr>
                <w:sz w:val="23"/>
                <w:szCs w:val="23"/>
              </w:rPr>
              <w:t xml:space="preserve">This is the initial version, and the Equality Impact Assessment will evolve as our review progresses. Changes will be recorded in this log. </w:t>
            </w:r>
          </w:p>
        </w:tc>
      </w:tr>
      <w:tr w:rsidR="00A92AF3" w:rsidRPr="003C013C" w14:paraId="4F670B1D" w14:textId="77777777" w:rsidTr="3B79DB25">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r w:rsidRPr="006141A9">
              <w:rPr>
                <w:rFonts w:cs="Arial"/>
                <w:color w:val="595959" w:themeColor="text1" w:themeTint="A6"/>
              </w:rPr>
              <w:t xml:space="preserve">E.g.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CE3404" w:rsidRPr="003C013C" w14:paraId="391AC9F8" w14:textId="77777777" w:rsidTr="3B79DB25">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r w:rsidRPr="006141A9">
              <w:rPr>
                <w:rFonts w:cs="Arial"/>
                <w:color w:val="595959" w:themeColor="text1" w:themeTint="A6"/>
              </w:rPr>
              <w:t xml:space="preserve">E.g.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24C6EE52" w14:textId="5DD98EE0" w:rsidR="00A327BC" w:rsidRDefault="0046653F" w:rsidP="007C366B">
      <w:r>
        <w:rPr>
          <w:bCs/>
          <w:color w:val="auto"/>
        </w:rPr>
        <w:t>Continued below…</w:t>
      </w:r>
      <w:r>
        <w:br w:type="page"/>
      </w:r>
    </w:p>
    <w:p w14:paraId="18727E8B" w14:textId="7CA74439" w:rsidR="004E69F3" w:rsidRPr="004E69F3" w:rsidRDefault="00A327BC" w:rsidP="004E69F3">
      <w:pPr>
        <w:pStyle w:val="Heading2"/>
      </w:pPr>
      <w:bookmarkStart w:id="10" w:name="_Toc126841213"/>
      <w:r>
        <w:lastRenderedPageBreak/>
        <w:t>Action plan</w:t>
      </w:r>
      <w:bookmarkEnd w:id="10"/>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3B79DB25">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3B79DB25">
        <w:trPr>
          <w:trHeight w:val="428"/>
        </w:trPr>
        <w:tc>
          <w:tcPr>
            <w:tcW w:w="2934" w:type="dxa"/>
          </w:tcPr>
          <w:p w14:paraId="77BA96E2" w14:textId="55466D6A" w:rsidR="004E69F3" w:rsidRPr="004E69F3" w:rsidRDefault="565FEF54" w:rsidP="3F333782">
            <w:pPr>
              <w:spacing w:line="259" w:lineRule="auto"/>
            </w:pPr>
            <w:r>
              <w:t>Development of HEIF Review Expert Group to include representation across expertise around policy, analysis, breadth of Eng</w:t>
            </w:r>
            <w:r w:rsidR="510CB34E">
              <w:t xml:space="preserve">lish </w:t>
            </w:r>
            <w:r>
              <w:t xml:space="preserve">HEPs </w:t>
            </w:r>
          </w:p>
        </w:tc>
        <w:tc>
          <w:tcPr>
            <w:tcW w:w="2934" w:type="dxa"/>
          </w:tcPr>
          <w:p w14:paraId="4C3B4719" w14:textId="14D6F557" w:rsidR="004E69F3" w:rsidRPr="004E69F3" w:rsidRDefault="29F099F0" w:rsidP="3F333782">
            <w:pPr>
              <w:spacing w:line="259" w:lineRule="auto"/>
            </w:pPr>
            <w:r>
              <w:t>March</w:t>
            </w:r>
            <w:r w:rsidR="2216033C">
              <w:t xml:space="preserve"> 2026</w:t>
            </w:r>
          </w:p>
        </w:tc>
        <w:tc>
          <w:tcPr>
            <w:tcW w:w="2935" w:type="dxa"/>
          </w:tcPr>
          <w:p w14:paraId="1923729C" w14:textId="1753E1FC" w:rsidR="004E69F3" w:rsidRPr="004E69F3" w:rsidRDefault="3E0FB6DA" w:rsidP="3F333782">
            <w:pPr>
              <w:spacing w:line="259" w:lineRule="auto"/>
            </w:pPr>
            <w:r>
              <w:t>Jessica Lucia (Senior Policy Adviser)</w:t>
            </w:r>
          </w:p>
        </w:tc>
        <w:tc>
          <w:tcPr>
            <w:tcW w:w="2935" w:type="dxa"/>
          </w:tcPr>
          <w:p w14:paraId="7FF08D0E" w14:textId="3E4719B0" w:rsidR="00E12DE3" w:rsidRPr="004E69F3" w:rsidRDefault="4B891DA9" w:rsidP="3F333782">
            <w:pPr>
              <w:spacing w:line="259" w:lineRule="auto"/>
            </w:pPr>
            <w:r>
              <w:t>Identification of appropriate expertise and representation. Monitoring attendance at Expert Group meetings.</w:t>
            </w:r>
          </w:p>
        </w:tc>
        <w:tc>
          <w:tcPr>
            <w:tcW w:w="2935" w:type="dxa"/>
          </w:tcPr>
          <w:p w14:paraId="4A604FBE" w14:textId="41DE0731" w:rsidR="00E12DE3" w:rsidRPr="004E69F3" w:rsidRDefault="00E12DE3" w:rsidP="004E69F3">
            <w:r>
              <w:t>Inform inclusive design of the activity</w:t>
            </w:r>
          </w:p>
        </w:tc>
      </w:tr>
      <w:tr w:rsidR="3F333782" w14:paraId="6EF76D7D" w14:textId="77777777" w:rsidTr="3B79DB25">
        <w:trPr>
          <w:trHeight w:val="428"/>
        </w:trPr>
        <w:tc>
          <w:tcPr>
            <w:tcW w:w="2934" w:type="dxa"/>
            <w:vAlign w:val="center"/>
          </w:tcPr>
          <w:p w14:paraId="43FE558D" w14:textId="53BB7064" w:rsidR="7E155522" w:rsidRDefault="7E155522" w:rsidP="3F333782">
            <w:pPr>
              <w:spacing w:line="259" w:lineRule="auto"/>
            </w:pPr>
            <w:r>
              <w:t>Assemble an evidence base to inform future iterations of this EIA.</w:t>
            </w:r>
          </w:p>
        </w:tc>
        <w:tc>
          <w:tcPr>
            <w:tcW w:w="2934" w:type="dxa"/>
            <w:vAlign w:val="center"/>
          </w:tcPr>
          <w:p w14:paraId="06ADC8F9" w14:textId="57CD588F" w:rsidR="071F23EB" w:rsidRDefault="071F23EB" w:rsidP="3F333782">
            <w:pPr>
              <w:spacing w:line="259" w:lineRule="auto"/>
            </w:pPr>
            <w:r>
              <w:t>Ongoing</w:t>
            </w:r>
          </w:p>
        </w:tc>
        <w:tc>
          <w:tcPr>
            <w:tcW w:w="2935" w:type="dxa"/>
            <w:vAlign w:val="center"/>
          </w:tcPr>
          <w:p w14:paraId="0D85C159" w14:textId="3F433AF2" w:rsidR="7E155522" w:rsidRDefault="7E155522" w:rsidP="3F333782">
            <w:pPr>
              <w:spacing w:line="259" w:lineRule="auto"/>
            </w:pPr>
            <w:r>
              <w:t>Collectively all RE staff involved in the HEIF review, split by workstream /activities.</w:t>
            </w:r>
          </w:p>
        </w:tc>
        <w:tc>
          <w:tcPr>
            <w:tcW w:w="2935" w:type="dxa"/>
            <w:vAlign w:val="center"/>
          </w:tcPr>
          <w:p w14:paraId="200831E8" w14:textId="2C42276E" w:rsidR="7E155522" w:rsidRDefault="7E155522" w:rsidP="3F333782">
            <w:pPr>
              <w:spacing w:line="259" w:lineRule="auto"/>
            </w:pPr>
            <w:r>
              <w:t>Identification of desirable data sources and confirmation that these have been obtained or created.</w:t>
            </w:r>
          </w:p>
        </w:tc>
        <w:tc>
          <w:tcPr>
            <w:tcW w:w="2935" w:type="dxa"/>
            <w:vAlign w:val="center"/>
          </w:tcPr>
          <w:p w14:paraId="0F386125" w14:textId="11CEB00C" w:rsidR="7E155522" w:rsidRDefault="7E155522" w:rsidP="3F333782">
            <w:r>
              <w:t>Continuously identifying and mitigating barriers to EDI and capitalising on opportunities.</w:t>
            </w:r>
          </w:p>
        </w:tc>
      </w:tr>
      <w:tr w:rsidR="3F333782" w14:paraId="0472F243" w14:textId="77777777" w:rsidTr="3B79DB25">
        <w:trPr>
          <w:trHeight w:val="428"/>
        </w:trPr>
        <w:tc>
          <w:tcPr>
            <w:tcW w:w="2934" w:type="dxa"/>
            <w:vAlign w:val="center"/>
          </w:tcPr>
          <w:p w14:paraId="541BED61" w14:textId="5F067381" w:rsidR="7E155522" w:rsidRDefault="7E155522" w:rsidP="3F333782">
            <w:pPr>
              <w:spacing w:line="259" w:lineRule="auto"/>
            </w:pPr>
            <w:r>
              <w:t>Activities in the communications and engagement plan for the HEIF Review to not be scheduled in time periods when there are major religious occasions and/or school holidays</w:t>
            </w:r>
          </w:p>
        </w:tc>
        <w:tc>
          <w:tcPr>
            <w:tcW w:w="2934" w:type="dxa"/>
            <w:vAlign w:val="center"/>
          </w:tcPr>
          <w:p w14:paraId="553BE815" w14:textId="095BF54C" w:rsidR="7E155522" w:rsidRDefault="7E155522" w:rsidP="3F333782">
            <w:pPr>
              <w:spacing w:line="259" w:lineRule="auto"/>
            </w:pPr>
            <w:r>
              <w:t>Individually for every event and comms piece.</w:t>
            </w:r>
          </w:p>
        </w:tc>
        <w:tc>
          <w:tcPr>
            <w:tcW w:w="2935" w:type="dxa"/>
            <w:vAlign w:val="center"/>
          </w:tcPr>
          <w:p w14:paraId="32AA03EC" w14:textId="55A84441" w:rsidR="7E155522" w:rsidRDefault="7E155522" w:rsidP="3F333782">
            <w:pPr>
              <w:spacing w:line="259" w:lineRule="auto"/>
            </w:pPr>
            <w:r>
              <w:t>Senior Policy Advisors leading on comms</w:t>
            </w:r>
          </w:p>
        </w:tc>
        <w:tc>
          <w:tcPr>
            <w:tcW w:w="2935" w:type="dxa"/>
            <w:vAlign w:val="center"/>
          </w:tcPr>
          <w:p w14:paraId="0756FB74" w14:textId="51797E2F" w:rsidR="7E155522" w:rsidRDefault="7E155522" w:rsidP="3F333782">
            <w:pPr>
              <w:spacing w:line="259" w:lineRule="auto"/>
            </w:pPr>
            <w:r>
              <w:t>As a standing agenda item at regular meetings of Research England HEIF Review internal working group.</w:t>
            </w:r>
            <w:r w:rsidR="2884B4CC">
              <w:t xml:space="preserve"> </w:t>
            </w:r>
          </w:p>
          <w:p w14:paraId="4DEA3B7D" w14:textId="5479D4A2" w:rsidR="2884B4CC" w:rsidRDefault="2884B4CC" w:rsidP="3F333782">
            <w:pPr>
              <w:spacing w:line="259" w:lineRule="auto"/>
            </w:pPr>
            <w:r>
              <w:t>Event planning checklist</w:t>
            </w:r>
          </w:p>
        </w:tc>
        <w:tc>
          <w:tcPr>
            <w:tcW w:w="2935" w:type="dxa"/>
            <w:vAlign w:val="center"/>
          </w:tcPr>
          <w:p w14:paraId="6F67C25D" w14:textId="60A1282B" w:rsidR="7E155522" w:rsidRDefault="7E155522" w:rsidP="3F333782">
            <w:r>
              <w:t>Keeping the entire community informed of our progress.</w:t>
            </w:r>
          </w:p>
          <w:p w14:paraId="13188796" w14:textId="105F62EB" w:rsidR="3F333782" w:rsidRDefault="3F333782" w:rsidP="3F333782"/>
          <w:p w14:paraId="096926D3" w14:textId="258323D5" w:rsidR="6D6162F1" w:rsidRDefault="6D6162F1" w:rsidP="3F333782">
            <w:r>
              <w:t>Increased engagement.</w:t>
            </w:r>
          </w:p>
        </w:tc>
      </w:tr>
      <w:tr w:rsidR="00285C65" w:rsidRPr="004E69F3" w14:paraId="2F3B8C3F" w14:textId="77777777" w:rsidTr="3B79DB25">
        <w:trPr>
          <w:trHeight w:val="403"/>
        </w:trPr>
        <w:tc>
          <w:tcPr>
            <w:tcW w:w="2934" w:type="dxa"/>
            <w:vAlign w:val="center"/>
          </w:tcPr>
          <w:p w14:paraId="0A149A91" w14:textId="62E90CBB" w:rsidR="00285C65" w:rsidRPr="004E69F3" w:rsidRDefault="00285C65" w:rsidP="00285C65">
            <w:r w:rsidRPr="00553287">
              <w:t>Ensure accessibility of engagement events</w:t>
            </w:r>
          </w:p>
        </w:tc>
        <w:tc>
          <w:tcPr>
            <w:tcW w:w="2934" w:type="dxa"/>
            <w:vAlign w:val="center"/>
          </w:tcPr>
          <w:p w14:paraId="537A6A0B" w14:textId="3FF39E5F" w:rsidR="00285C65" w:rsidRPr="004E69F3" w:rsidRDefault="3C650C01" w:rsidP="00285C65">
            <w:r>
              <w:t>Individually for every event.</w:t>
            </w:r>
          </w:p>
        </w:tc>
        <w:tc>
          <w:tcPr>
            <w:tcW w:w="2935" w:type="dxa"/>
            <w:vAlign w:val="center"/>
          </w:tcPr>
          <w:p w14:paraId="5AE6BD43" w14:textId="3F433AF2" w:rsidR="00285C65" w:rsidRPr="004E69F3" w:rsidRDefault="6526384B" w:rsidP="3F333782">
            <w:pPr>
              <w:spacing w:line="259" w:lineRule="auto"/>
            </w:pPr>
            <w:r>
              <w:t>Collectively all RE staff involved in the HEIF review, split by workstream /activities.</w:t>
            </w:r>
          </w:p>
          <w:p w14:paraId="1A42F8C5" w14:textId="3025CB76" w:rsidR="00285C65" w:rsidRPr="004E69F3" w:rsidRDefault="00285C65" w:rsidP="00285C65"/>
        </w:tc>
        <w:tc>
          <w:tcPr>
            <w:tcW w:w="2935" w:type="dxa"/>
            <w:vAlign w:val="center"/>
          </w:tcPr>
          <w:p w14:paraId="164E7011" w14:textId="2B9441AE" w:rsidR="00285C65" w:rsidRPr="004E69F3" w:rsidRDefault="00285C65" w:rsidP="00285C65">
            <w:r w:rsidRPr="00553287">
              <w:t>Agenda item at project meetings</w:t>
            </w:r>
          </w:p>
        </w:tc>
        <w:tc>
          <w:tcPr>
            <w:tcW w:w="2935" w:type="dxa"/>
            <w:vAlign w:val="center"/>
          </w:tcPr>
          <w:p w14:paraId="5A2DEF20" w14:textId="71A873B8" w:rsidR="00285C65" w:rsidRPr="004E69F3" w:rsidRDefault="00285C65" w:rsidP="00285C65">
            <w:r w:rsidRPr="00553287">
              <w:t>Inclusive participation</w:t>
            </w:r>
          </w:p>
        </w:tc>
      </w:tr>
      <w:tr w:rsidR="00285C65" w:rsidRPr="004E69F3" w14:paraId="33989812" w14:textId="77777777" w:rsidTr="3B79DB25">
        <w:trPr>
          <w:trHeight w:val="428"/>
        </w:trPr>
        <w:tc>
          <w:tcPr>
            <w:tcW w:w="2934" w:type="dxa"/>
            <w:vAlign w:val="center"/>
          </w:tcPr>
          <w:p w14:paraId="7793C5AE" w14:textId="000EB087" w:rsidR="00285C65" w:rsidRPr="00553287" w:rsidRDefault="00285C65" w:rsidP="00285C65">
            <w:r w:rsidRPr="00553287">
              <w:t>Collect EDI data from engagement participants</w:t>
            </w:r>
          </w:p>
        </w:tc>
        <w:tc>
          <w:tcPr>
            <w:tcW w:w="2934" w:type="dxa"/>
            <w:vAlign w:val="center"/>
          </w:tcPr>
          <w:p w14:paraId="7B13A48F" w14:textId="4E96D12E" w:rsidR="00285C65" w:rsidRPr="00553287" w:rsidRDefault="00285C65" w:rsidP="00285C65">
            <w:r w:rsidRPr="00553287">
              <w:t>Post-event</w:t>
            </w:r>
          </w:p>
        </w:tc>
        <w:tc>
          <w:tcPr>
            <w:tcW w:w="2935" w:type="dxa"/>
            <w:vAlign w:val="center"/>
          </w:tcPr>
          <w:p w14:paraId="3B9D07FF" w14:textId="584F65F1" w:rsidR="00285C65" w:rsidRPr="00553287" w:rsidRDefault="542D39E9" w:rsidP="3F333782">
            <w:r>
              <w:t>Senior Policy Advisors</w:t>
            </w:r>
          </w:p>
        </w:tc>
        <w:tc>
          <w:tcPr>
            <w:tcW w:w="2935" w:type="dxa"/>
            <w:vAlign w:val="center"/>
          </w:tcPr>
          <w:p w14:paraId="124899D5" w14:textId="5DD6E166" w:rsidR="00285C65" w:rsidRPr="00553287" w:rsidRDefault="00285C65" w:rsidP="00285C65">
            <w:r w:rsidRPr="00553287">
              <w:t>Optional survey</w:t>
            </w:r>
          </w:p>
        </w:tc>
        <w:tc>
          <w:tcPr>
            <w:tcW w:w="2935" w:type="dxa"/>
            <w:vAlign w:val="center"/>
          </w:tcPr>
          <w:p w14:paraId="06422BD7" w14:textId="77777777" w:rsidR="00285C65" w:rsidRPr="00553287" w:rsidRDefault="00285C65" w:rsidP="00285C65"/>
        </w:tc>
      </w:tr>
      <w:tr w:rsidR="3F333782" w14:paraId="71D178AD" w14:textId="77777777" w:rsidTr="3B79DB25">
        <w:trPr>
          <w:trHeight w:val="428"/>
        </w:trPr>
        <w:tc>
          <w:tcPr>
            <w:tcW w:w="2934" w:type="dxa"/>
            <w:vAlign w:val="center"/>
          </w:tcPr>
          <w:p w14:paraId="6CE89079" w14:textId="0AE89604" w:rsidR="7406D88A" w:rsidRDefault="7406D88A" w:rsidP="3F333782">
            <w:r>
              <w:lastRenderedPageBreak/>
              <w:t xml:space="preserve">Consider and implement, if needed, updates to this EIA at least once every six months as the </w:t>
            </w:r>
            <w:r w:rsidR="6F9DEEF8">
              <w:t>HEIF</w:t>
            </w:r>
            <w:r>
              <w:t xml:space="preserve"> review progresses.</w:t>
            </w:r>
          </w:p>
        </w:tc>
        <w:tc>
          <w:tcPr>
            <w:tcW w:w="2934" w:type="dxa"/>
            <w:vAlign w:val="center"/>
          </w:tcPr>
          <w:p w14:paraId="1A9A2110" w14:textId="6BBD0C45" w:rsidR="7406D88A" w:rsidRDefault="7406D88A" w:rsidP="3F333782">
            <w:r>
              <w:t>Until the end of the HEIF review.</w:t>
            </w:r>
          </w:p>
        </w:tc>
        <w:tc>
          <w:tcPr>
            <w:tcW w:w="2935" w:type="dxa"/>
            <w:vAlign w:val="center"/>
          </w:tcPr>
          <w:p w14:paraId="51A900A9" w14:textId="1753E1FC" w:rsidR="7406D88A" w:rsidRDefault="7406D88A" w:rsidP="3F333782">
            <w:pPr>
              <w:spacing w:line="259" w:lineRule="auto"/>
            </w:pPr>
            <w:r>
              <w:t>Jessica Lucia (Senior Policy Adviser)</w:t>
            </w:r>
          </w:p>
          <w:p w14:paraId="270F9B5C" w14:textId="00C98CFC" w:rsidR="3F333782" w:rsidRDefault="3F333782" w:rsidP="3F333782"/>
        </w:tc>
        <w:tc>
          <w:tcPr>
            <w:tcW w:w="2935" w:type="dxa"/>
            <w:vAlign w:val="center"/>
          </w:tcPr>
          <w:p w14:paraId="1C1B01CC" w14:textId="676FA9D2" w:rsidR="7406D88A" w:rsidRDefault="7406D88A" w:rsidP="3F333782">
            <w:pPr>
              <w:spacing w:line="259" w:lineRule="auto"/>
            </w:pPr>
            <w:r>
              <w:t>As a standing agenda item at regular meetings of Research England HEIF Review internal working group.</w:t>
            </w:r>
          </w:p>
          <w:p w14:paraId="43BD8042" w14:textId="333FA752" w:rsidR="3F333782" w:rsidRDefault="3F333782" w:rsidP="3F333782"/>
        </w:tc>
        <w:tc>
          <w:tcPr>
            <w:tcW w:w="2935" w:type="dxa"/>
            <w:vAlign w:val="center"/>
          </w:tcPr>
          <w:p w14:paraId="06AAF05A" w14:textId="715F30F1" w:rsidR="7406D88A" w:rsidRDefault="7406D88A" w:rsidP="3F333782">
            <w:r>
              <w:t>Continuously identifying and mitigating barriers to EDI and capitalising on opportunities.</w:t>
            </w:r>
          </w:p>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A249" w14:textId="77777777" w:rsidR="00D320A6" w:rsidRDefault="00D320A6" w:rsidP="001F62C7">
      <w:r>
        <w:separator/>
      </w:r>
    </w:p>
  </w:endnote>
  <w:endnote w:type="continuationSeparator" w:id="0">
    <w:p w14:paraId="32919FFB" w14:textId="77777777" w:rsidR="00D320A6" w:rsidRDefault="00D320A6" w:rsidP="001F62C7">
      <w:r>
        <w:continuationSeparator/>
      </w:r>
    </w:p>
  </w:endnote>
  <w:endnote w:type="continuationNotice" w:id="1">
    <w:p w14:paraId="4F6FE4C0" w14:textId="77777777" w:rsidR="00D320A6" w:rsidRDefault="00D32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911614"/>
      <w:docPartObj>
        <w:docPartGallery w:val="Page Numbers (Bottom of Page)"/>
        <w:docPartUnique/>
      </w:docPartObj>
    </w:sdtPr>
    <w:sdtEndPr>
      <w:rPr>
        <w:rStyle w:val="PageNumber"/>
      </w:rPr>
    </w:sdtEndPr>
    <w:sdtContent>
      <w:p w14:paraId="2A9399AA" w14:textId="1ACF0832" w:rsidR="00792240" w:rsidRDefault="00792240" w:rsidP="597167A6">
        <w:pPr>
          <w:pStyle w:val="Footer"/>
          <w:framePr w:wrap="none" w:vAnchor="text" w:hAnchor="margin" w:xAlign="right" w:y="1"/>
          <w:ind w:left="7920"/>
          <w:rPr>
            <w:rStyle w:val="PageNumber"/>
          </w:rPr>
        </w:pPr>
        <w:r w:rsidRPr="597167A6">
          <w:rPr>
            <w:rStyle w:val="PageNumber"/>
            <w:noProof/>
          </w:rPr>
          <w:fldChar w:fldCharType="begin"/>
        </w:r>
        <w:r w:rsidRPr="597167A6">
          <w:rPr>
            <w:rStyle w:val="PageNumber"/>
          </w:rPr>
          <w:instrText xml:space="preserve"> PAGE </w:instrText>
        </w:r>
        <w:r w:rsidRPr="597167A6">
          <w:rPr>
            <w:rStyle w:val="PageNumber"/>
          </w:rPr>
          <w:fldChar w:fldCharType="separate"/>
        </w:r>
        <w:r w:rsidR="597167A6" w:rsidRPr="597167A6">
          <w:rPr>
            <w:rStyle w:val="PageNumber"/>
            <w:noProof/>
          </w:rPr>
          <w:t>1</w:t>
        </w:r>
        <w:r w:rsidRPr="597167A6">
          <w:rPr>
            <w:rStyle w:val="PageNumber"/>
            <w:noProof/>
          </w:rPr>
          <w:fldChar w:fldCharType="end"/>
        </w:r>
      </w:p>
    </w:sdtContent>
  </w:sdt>
  <w:p w14:paraId="12B475F6" w14:textId="4AAFE914" w:rsidR="00286414" w:rsidRDefault="008E3656" w:rsidP="00792240">
    <w:pPr>
      <w:pStyle w:val="Footer"/>
      <w:ind w:right="360"/>
      <w:rPr>
        <w:rStyle w:val="Hyperlink"/>
      </w:rPr>
    </w:pPr>
    <w:hyperlink r:id="rId1" w:history="1">
      <w:r w:rsidRPr="00D4481D">
        <w:rPr>
          <w:rStyle w:val="Hyperlink"/>
        </w:rPr>
        <w:t>EDIHR@ukri.org</w:t>
      </w:r>
    </w:hyperlink>
  </w:p>
  <w:p w14:paraId="2527AA4B" w14:textId="697F3808" w:rsidR="00C553A4" w:rsidRPr="008E3656" w:rsidRDefault="00C553A4" w:rsidP="00792240">
    <w:pPr>
      <w:pStyle w:val="Footer"/>
      <w:ind w:right="360"/>
      <w:rPr>
        <w:rStyle w:val="Hyperlink"/>
        <w:color w:val="000000" w:themeColor="text1"/>
        <w:u w:val="none"/>
      </w:rPr>
    </w:pPr>
    <w:r>
      <w:rPr>
        <w:rStyle w:val="Hyperlink"/>
        <w:color w:val="000000" w:themeColor="text1"/>
        <w:u w:val="none"/>
      </w:rPr>
      <w:t>January 202</w:t>
    </w:r>
    <w:r w:rsidR="00C36B7A">
      <w:rPr>
        <w:rStyle w:val="Hyperlink"/>
        <w:color w:val="000000" w:themeColor="text1"/>
        <w:u w:val="none"/>
      </w:rPr>
      <w:t>6</w:t>
    </w:r>
    <w:r>
      <w:rPr>
        <w:rStyle w:val="Hyperlink"/>
        <w:color w:val="000000" w:themeColor="text1"/>
        <w:u w:val="none"/>
      </w:rPr>
      <w:t>_v1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CC19" w14:textId="77777777" w:rsidR="00D320A6" w:rsidRDefault="00D320A6" w:rsidP="001F62C7">
      <w:r>
        <w:separator/>
      </w:r>
    </w:p>
  </w:footnote>
  <w:footnote w:type="continuationSeparator" w:id="0">
    <w:p w14:paraId="3FAAB59B" w14:textId="77777777" w:rsidR="00D320A6" w:rsidRDefault="00D320A6" w:rsidP="001F62C7">
      <w:r>
        <w:continuationSeparator/>
      </w:r>
    </w:p>
  </w:footnote>
  <w:footnote w:type="continuationNotice" w:id="1">
    <w:p w14:paraId="60C0B0A2" w14:textId="77777777" w:rsidR="00D320A6" w:rsidRDefault="00D320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1452A"/>
    <w:multiLevelType w:val="hybridMultilevel"/>
    <w:tmpl w:val="23C0C362"/>
    <w:lvl w:ilvl="0" w:tplc="F8A2294A">
      <w:start w:val="1"/>
      <w:numFmt w:val="bullet"/>
      <w:lvlText w:val=""/>
      <w:lvlJc w:val="left"/>
      <w:pPr>
        <w:ind w:left="720" w:hanging="360"/>
      </w:pPr>
      <w:rPr>
        <w:rFonts w:ascii="Symbol" w:hAnsi="Symbol" w:hint="default"/>
      </w:rPr>
    </w:lvl>
    <w:lvl w:ilvl="1" w:tplc="3EB626F8">
      <w:start w:val="1"/>
      <w:numFmt w:val="bullet"/>
      <w:lvlText w:val="o"/>
      <w:lvlJc w:val="left"/>
      <w:pPr>
        <w:ind w:left="1440" w:hanging="360"/>
      </w:pPr>
      <w:rPr>
        <w:rFonts w:ascii="Courier New" w:hAnsi="Courier New" w:hint="default"/>
      </w:rPr>
    </w:lvl>
    <w:lvl w:ilvl="2" w:tplc="5F4660DC">
      <w:start w:val="1"/>
      <w:numFmt w:val="bullet"/>
      <w:lvlText w:val=""/>
      <w:lvlJc w:val="left"/>
      <w:pPr>
        <w:ind w:left="2160" w:hanging="360"/>
      </w:pPr>
      <w:rPr>
        <w:rFonts w:ascii="Wingdings" w:hAnsi="Wingdings" w:hint="default"/>
      </w:rPr>
    </w:lvl>
    <w:lvl w:ilvl="3" w:tplc="6AB2AE72">
      <w:start w:val="1"/>
      <w:numFmt w:val="bullet"/>
      <w:lvlText w:val=""/>
      <w:lvlJc w:val="left"/>
      <w:pPr>
        <w:ind w:left="2880" w:hanging="360"/>
      </w:pPr>
      <w:rPr>
        <w:rFonts w:ascii="Symbol" w:hAnsi="Symbol" w:hint="default"/>
      </w:rPr>
    </w:lvl>
    <w:lvl w:ilvl="4" w:tplc="DD7C786C">
      <w:start w:val="1"/>
      <w:numFmt w:val="bullet"/>
      <w:lvlText w:val="o"/>
      <w:lvlJc w:val="left"/>
      <w:pPr>
        <w:ind w:left="3600" w:hanging="360"/>
      </w:pPr>
      <w:rPr>
        <w:rFonts w:ascii="Courier New" w:hAnsi="Courier New" w:hint="default"/>
      </w:rPr>
    </w:lvl>
    <w:lvl w:ilvl="5" w:tplc="324AA898">
      <w:start w:val="1"/>
      <w:numFmt w:val="bullet"/>
      <w:lvlText w:val=""/>
      <w:lvlJc w:val="left"/>
      <w:pPr>
        <w:ind w:left="4320" w:hanging="360"/>
      </w:pPr>
      <w:rPr>
        <w:rFonts w:ascii="Wingdings" w:hAnsi="Wingdings" w:hint="default"/>
      </w:rPr>
    </w:lvl>
    <w:lvl w:ilvl="6" w:tplc="616CD008">
      <w:start w:val="1"/>
      <w:numFmt w:val="bullet"/>
      <w:lvlText w:val=""/>
      <w:lvlJc w:val="left"/>
      <w:pPr>
        <w:ind w:left="5040" w:hanging="360"/>
      </w:pPr>
      <w:rPr>
        <w:rFonts w:ascii="Symbol" w:hAnsi="Symbol" w:hint="default"/>
      </w:rPr>
    </w:lvl>
    <w:lvl w:ilvl="7" w:tplc="4B8E1F36">
      <w:start w:val="1"/>
      <w:numFmt w:val="bullet"/>
      <w:lvlText w:val="o"/>
      <w:lvlJc w:val="left"/>
      <w:pPr>
        <w:ind w:left="5760" w:hanging="360"/>
      </w:pPr>
      <w:rPr>
        <w:rFonts w:ascii="Courier New" w:hAnsi="Courier New" w:hint="default"/>
      </w:rPr>
    </w:lvl>
    <w:lvl w:ilvl="8" w:tplc="B9600B10">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6" w15:restartNumberingAfterBreak="0">
    <w:nsid w:val="6B97B6B7"/>
    <w:multiLevelType w:val="hybridMultilevel"/>
    <w:tmpl w:val="F4145B10"/>
    <w:lvl w:ilvl="0" w:tplc="E03E69FA">
      <w:start w:val="1"/>
      <w:numFmt w:val="bullet"/>
      <w:lvlText w:val=""/>
      <w:lvlJc w:val="left"/>
      <w:pPr>
        <w:ind w:left="720" w:hanging="360"/>
      </w:pPr>
      <w:rPr>
        <w:rFonts w:ascii="Symbol" w:hAnsi="Symbol" w:hint="default"/>
      </w:rPr>
    </w:lvl>
    <w:lvl w:ilvl="1" w:tplc="3BB61BEE">
      <w:start w:val="1"/>
      <w:numFmt w:val="bullet"/>
      <w:lvlText w:val="o"/>
      <w:lvlJc w:val="left"/>
      <w:pPr>
        <w:ind w:left="1440" w:hanging="360"/>
      </w:pPr>
      <w:rPr>
        <w:rFonts w:ascii="Courier New" w:hAnsi="Courier New" w:hint="default"/>
      </w:rPr>
    </w:lvl>
    <w:lvl w:ilvl="2" w:tplc="EE0A8BBE">
      <w:start w:val="1"/>
      <w:numFmt w:val="bullet"/>
      <w:lvlText w:val=""/>
      <w:lvlJc w:val="left"/>
      <w:pPr>
        <w:ind w:left="2160" w:hanging="360"/>
      </w:pPr>
      <w:rPr>
        <w:rFonts w:ascii="Wingdings" w:hAnsi="Wingdings" w:hint="default"/>
      </w:rPr>
    </w:lvl>
    <w:lvl w:ilvl="3" w:tplc="9AF2A81C">
      <w:start w:val="1"/>
      <w:numFmt w:val="bullet"/>
      <w:lvlText w:val=""/>
      <w:lvlJc w:val="left"/>
      <w:pPr>
        <w:ind w:left="2880" w:hanging="360"/>
      </w:pPr>
      <w:rPr>
        <w:rFonts w:ascii="Symbol" w:hAnsi="Symbol" w:hint="default"/>
      </w:rPr>
    </w:lvl>
    <w:lvl w:ilvl="4" w:tplc="D98A0704">
      <w:start w:val="1"/>
      <w:numFmt w:val="bullet"/>
      <w:lvlText w:val="o"/>
      <w:lvlJc w:val="left"/>
      <w:pPr>
        <w:ind w:left="3600" w:hanging="360"/>
      </w:pPr>
      <w:rPr>
        <w:rFonts w:ascii="Courier New" w:hAnsi="Courier New" w:hint="default"/>
      </w:rPr>
    </w:lvl>
    <w:lvl w:ilvl="5" w:tplc="5E900E34">
      <w:start w:val="1"/>
      <w:numFmt w:val="bullet"/>
      <w:lvlText w:val=""/>
      <w:lvlJc w:val="left"/>
      <w:pPr>
        <w:ind w:left="4320" w:hanging="360"/>
      </w:pPr>
      <w:rPr>
        <w:rFonts w:ascii="Wingdings" w:hAnsi="Wingdings" w:hint="default"/>
      </w:rPr>
    </w:lvl>
    <w:lvl w:ilvl="6" w:tplc="3DE4E194">
      <w:start w:val="1"/>
      <w:numFmt w:val="bullet"/>
      <w:lvlText w:val=""/>
      <w:lvlJc w:val="left"/>
      <w:pPr>
        <w:ind w:left="5040" w:hanging="360"/>
      </w:pPr>
      <w:rPr>
        <w:rFonts w:ascii="Symbol" w:hAnsi="Symbol" w:hint="default"/>
      </w:rPr>
    </w:lvl>
    <w:lvl w:ilvl="7" w:tplc="A03EFB38">
      <w:start w:val="1"/>
      <w:numFmt w:val="bullet"/>
      <w:lvlText w:val="o"/>
      <w:lvlJc w:val="left"/>
      <w:pPr>
        <w:ind w:left="5760" w:hanging="360"/>
      </w:pPr>
      <w:rPr>
        <w:rFonts w:ascii="Courier New" w:hAnsi="Courier New" w:hint="default"/>
      </w:rPr>
    </w:lvl>
    <w:lvl w:ilvl="8" w:tplc="387E942A">
      <w:start w:val="1"/>
      <w:numFmt w:val="bullet"/>
      <w:lvlText w:val=""/>
      <w:lvlJc w:val="left"/>
      <w:pPr>
        <w:ind w:left="6480" w:hanging="360"/>
      </w:pPr>
      <w:rPr>
        <w:rFonts w:ascii="Wingdings" w:hAnsi="Wingdings" w:hint="default"/>
      </w:rPr>
    </w:lvl>
  </w:abstractNum>
  <w:abstractNum w:abstractNumId="27"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578947000">
    <w:abstractNumId w:val="7"/>
  </w:num>
  <w:num w:numId="2" w16cid:durableId="1652706975">
    <w:abstractNumId w:val="26"/>
  </w:num>
  <w:num w:numId="3" w16cid:durableId="2115054978">
    <w:abstractNumId w:val="17"/>
  </w:num>
  <w:num w:numId="4" w16cid:durableId="1233352261">
    <w:abstractNumId w:val="30"/>
  </w:num>
  <w:num w:numId="5" w16cid:durableId="1498153067">
    <w:abstractNumId w:val="29"/>
  </w:num>
  <w:num w:numId="6" w16cid:durableId="1864858693">
    <w:abstractNumId w:val="19"/>
  </w:num>
  <w:num w:numId="7" w16cid:durableId="1257593104">
    <w:abstractNumId w:val="4"/>
  </w:num>
  <w:num w:numId="8" w16cid:durableId="1740906995">
    <w:abstractNumId w:val="21"/>
  </w:num>
  <w:num w:numId="9" w16cid:durableId="1142964855">
    <w:abstractNumId w:val="22"/>
  </w:num>
  <w:num w:numId="10" w16cid:durableId="1783718424">
    <w:abstractNumId w:val="11"/>
  </w:num>
  <w:num w:numId="11" w16cid:durableId="1961525059">
    <w:abstractNumId w:val="5"/>
  </w:num>
  <w:num w:numId="12" w16cid:durableId="1588004861">
    <w:abstractNumId w:val="13"/>
  </w:num>
  <w:num w:numId="13" w16cid:durableId="1802116982">
    <w:abstractNumId w:val="1"/>
  </w:num>
  <w:num w:numId="14" w16cid:durableId="1697266660">
    <w:abstractNumId w:val="6"/>
  </w:num>
  <w:num w:numId="15" w16cid:durableId="1812675381">
    <w:abstractNumId w:val="23"/>
  </w:num>
  <w:num w:numId="16" w16cid:durableId="1231500762">
    <w:abstractNumId w:val="8"/>
  </w:num>
  <w:num w:numId="17" w16cid:durableId="1329283788">
    <w:abstractNumId w:val="18"/>
  </w:num>
  <w:num w:numId="18" w16cid:durableId="1436631320">
    <w:abstractNumId w:val="3"/>
  </w:num>
  <w:num w:numId="19" w16cid:durableId="24256471">
    <w:abstractNumId w:val="28"/>
  </w:num>
  <w:num w:numId="20" w16cid:durableId="49616346">
    <w:abstractNumId w:val="12"/>
  </w:num>
  <w:num w:numId="21" w16cid:durableId="2072649859">
    <w:abstractNumId w:val="16"/>
  </w:num>
  <w:num w:numId="22" w16cid:durableId="84036576">
    <w:abstractNumId w:val="15"/>
  </w:num>
  <w:num w:numId="23" w16cid:durableId="1074283147">
    <w:abstractNumId w:val="2"/>
  </w:num>
  <w:num w:numId="24" w16cid:durableId="1205562755">
    <w:abstractNumId w:val="10"/>
  </w:num>
  <w:num w:numId="25" w16cid:durableId="1870099735">
    <w:abstractNumId w:val="20"/>
  </w:num>
  <w:num w:numId="26" w16cid:durableId="91585365">
    <w:abstractNumId w:val="14"/>
  </w:num>
  <w:num w:numId="27" w16cid:durableId="476261141">
    <w:abstractNumId w:val="25"/>
  </w:num>
  <w:num w:numId="28" w16cid:durableId="2017152041">
    <w:abstractNumId w:val="27"/>
  </w:num>
  <w:num w:numId="29" w16cid:durableId="437915329">
    <w:abstractNumId w:val="0"/>
  </w:num>
  <w:num w:numId="30" w16cid:durableId="534387910">
    <w:abstractNumId w:val="9"/>
  </w:num>
  <w:num w:numId="31" w16cid:durableId="772630319">
    <w:abstractNumId w:val="24"/>
  </w:num>
  <w:num w:numId="32" w16cid:durableId="5915474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jM3NLI0MLEwtTRU0lEKTi0uzszPAykwrAUAEa3kFSwAAAA="/>
  </w:docVars>
  <w:rsids>
    <w:rsidRoot w:val="00B55BD6"/>
    <w:rsid w:val="00000836"/>
    <w:rsid w:val="00006BC3"/>
    <w:rsid w:val="00017BB8"/>
    <w:rsid w:val="000203E5"/>
    <w:rsid w:val="00020E24"/>
    <w:rsid w:val="00022608"/>
    <w:rsid w:val="0002469E"/>
    <w:rsid w:val="00027E5D"/>
    <w:rsid w:val="000324F2"/>
    <w:rsid w:val="00032705"/>
    <w:rsid w:val="00044939"/>
    <w:rsid w:val="00045115"/>
    <w:rsid w:val="00046F3D"/>
    <w:rsid w:val="000503E4"/>
    <w:rsid w:val="00050BF5"/>
    <w:rsid w:val="000515FD"/>
    <w:rsid w:val="00051A18"/>
    <w:rsid w:val="00062DA1"/>
    <w:rsid w:val="00066C99"/>
    <w:rsid w:val="000704E7"/>
    <w:rsid w:val="0007194F"/>
    <w:rsid w:val="00072A45"/>
    <w:rsid w:val="00080550"/>
    <w:rsid w:val="00083E84"/>
    <w:rsid w:val="000858E1"/>
    <w:rsid w:val="000A0D2D"/>
    <w:rsid w:val="000A4244"/>
    <w:rsid w:val="000A6221"/>
    <w:rsid w:val="000B1F3C"/>
    <w:rsid w:val="000B2FD9"/>
    <w:rsid w:val="000B5163"/>
    <w:rsid w:val="000C693C"/>
    <w:rsid w:val="000D0B9C"/>
    <w:rsid w:val="000D0DD2"/>
    <w:rsid w:val="000D3769"/>
    <w:rsid w:val="000D42B6"/>
    <w:rsid w:val="000E0221"/>
    <w:rsid w:val="000E0852"/>
    <w:rsid w:val="000E355A"/>
    <w:rsid w:val="000E7274"/>
    <w:rsid w:val="000F1013"/>
    <w:rsid w:val="000F492E"/>
    <w:rsid w:val="000F4DF2"/>
    <w:rsid w:val="000F6E23"/>
    <w:rsid w:val="000F772F"/>
    <w:rsid w:val="00102039"/>
    <w:rsid w:val="0010262F"/>
    <w:rsid w:val="0010633F"/>
    <w:rsid w:val="0011641B"/>
    <w:rsid w:val="00116EB3"/>
    <w:rsid w:val="00117981"/>
    <w:rsid w:val="00117A48"/>
    <w:rsid w:val="001203E0"/>
    <w:rsid w:val="00123219"/>
    <w:rsid w:val="0013632F"/>
    <w:rsid w:val="00145861"/>
    <w:rsid w:val="00145F3E"/>
    <w:rsid w:val="00147D1C"/>
    <w:rsid w:val="00147D57"/>
    <w:rsid w:val="00153C0C"/>
    <w:rsid w:val="00157DDA"/>
    <w:rsid w:val="0016053A"/>
    <w:rsid w:val="00160AE4"/>
    <w:rsid w:val="00160F11"/>
    <w:rsid w:val="00160F2E"/>
    <w:rsid w:val="00167266"/>
    <w:rsid w:val="0016740B"/>
    <w:rsid w:val="0016753E"/>
    <w:rsid w:val="00175377"/>
    <w:rsid w:val="00177E62"/>
    <w:rsid w:val="00184CF9"/>
    <w:rsid w:val="001873CD"/>
    <w:rsid w:val="001909DA"/>
    <w:rsid w:val="00191A47"/>
    <w:rsid w:val="00196868"/>
    <w:rsid w:val="001A289C"/>
    <w:rsid w:val="001A6FE6"/>
    <w:rsid w:val="001B1487"/>
    <w:rsid w:val="001B6664"/>
    <w:rsid w:val="001B69FB"/>
    <w:rsid w:val="001C0266"/>
    <w:rsid w:val="001C1528"/>
    <w:rsid w:val="001C3882"/>
    <w:rsid w:val="001D4906"/>
    <w:rsid w:val="001F071C"/>
    <w:rsid w:val="001F1337"/>
    <w:rsid w:val="001F62C7"/>
    <w:rsid w:val="00204002"/>
    <w:rsid w:val="00204928"/>
    <w:rsid w:val="00205539"/>
    <w:rsid w:val="00205A3B"/>
    <w:rsid w:val="00221D0E"/>
    <w:rsid w:val="00222AE0"/>
    <w:rsid w:val="00223B75"/>
    <w:rsid w:val="0022428B"/>
    <w:rsid w:val="0022472B"/>
    <w:rsid w:val="002268A6"/>
    <w:rsid w:val="00232F45"/>
    <w:rsid w:val="0024011F"/>
    <w:rsid w:val="00243731"/>
    <w:rsid w:val="00245F1C"/>
    <w:rsid w:val="00255DAD"/>
    <w:rsid w:val="00256C52"/>
    <w:rsid w:val="002645B9"/>
    <w:rsid w:val="00265049"/>
    <w:rsid w:val="0026580E"/>
    <w:rsid w:val="00270EFB"/>
    <w:rsid w:val="00271AE8"/>
    <w:rsid w:val="002742A9"/>
    <w:rsid w:val="002803CC"/>
    <w:rsid w:val="00281130"/>
    <w:rsid w:val="00285C65"/>
    <w:rsid w:val="00286199"/>
    <w:rsid w:val="00286414"/>
    <w:rsid w:val="00291F09"/>
    <w:rsid w:val="002954F3"/>
    <w:rsid w:val="0029568A"/>
    <w:rsid w:val="002A0A35"/>
    <w:rsid w:val="002A1179"/>
    <w:rsid w:val="002A4918"/>
    <w:rsid w:val="002A677D"/>
    <w:rsid w:val="002A6AB5"/>
    <w:rsid w:val="002B148E"/>
    <w:rsid w:val="002B3AE8"/>
    <w:rsid w:val="002B75EC"/>
    <w:rsid w:val="002D4671"/>
    <w:rsid w:val="002E208A"/>
    <w:rsid w:val="002E33F0"/>
    <w:rsid w:val="002E342A"/>
    <w:rsid w:val="002E40B6"/>
    <w:rsid w:val="002E71FE"/>
    <w:rsid w:val="003024E3"/>
    <w:rsid w:val="00312B2C"/>
    <w:rsid w:val="003238E2"/>
    <w:rsid w:val="003254F7"/>
    <w:rsid w:val="00330BB9"/>
    <w:rsid w:val="00332034"/>
    <w:rsid w:val="00333561"/>
    <w:rsid w:val="00335AAC"/>
    <w:rsid w:val="00337E44"/>
    <w:rsid w:val="00341B6C"/>
    <w:rsid w:val="003429DB"/>
    <w:rsid w:val="00353C2D"/>
    <w:rsid w:val="00365154"/>
    <w:rsid w:val="00365F49"/>
    <w:rsid w:val="00366242"/>
    <w:rsid w:val="00366A04"/>
    <w:rsid w:val="00371440"/>
    <w:rsid w:val="00371486"/>
    <w:rsid w:val="003773A2"/>
    <w:rsid w:val="00382E8F"/>
    <w:rsid w:val="003855A1"/>
    <w:rsid w:val="00386A2D"/>
    <w:rsid w:val="00393857"/>
    <w:rsid w:val="0039499A"/>
    <w:rsid w:val="003A451F"/>
    <w:rsid w:val="003A6AEF"/>
    <w:rsid w:val="003B4504"/>
    <w:rsid w:val="003B4811"/>
    <w:rsid w:val="003B5F1F"/>
    <w:rsid w:val="003C6C06"/>
    <w:rsid w:val="003C7440"/>
    <w:rsid w:val="003D1233"/>
    <w:rsid w:val="003D5520"/>
    <w:rsid w:val="003D5815"/>
    <w:rsid w:val="003E2FA2"/>
    <w:rsid w:val="003E66D2"/>
    <w:rsid w:val="003E6CCA"/>
    <w:rsid w:val="003F65AA"/>
    <w:rsid w:val="00403896"/>
    <w:rsid w:val="00403B73"/>
    <w:rsid w:val="004120CF"/>
    <w:rsid w:val="0041465E"/>
    <w:rsid w:val="0041753F"/>
    <w:rsid w:val="00417581"/>
    <w:rsid w:val="00417D53"/>
    <w:rsid w:val="004216C0"/>
    <w:rsid w:val="0044126B"/>
    <w:rsid w:val="00443642"/>
    <w:rsid w:val="00443CEC"/>
    <w:rsid w:val="00444933"/>
    <w:rsid w:val="00454760"/>
    <w:rsid w:val="0045533B"/>
    <w:rsid w:val="0045539A"/>
    <w:rsid w:val="004614FA"/>
    <w:rsid w:val="00464FE4"/>
    <w:rsid w:val="00465265"/>
    <w:rsid w:val="004654D4"/>
    <w:rsid w:val="0046653F"/>
    <w:rsid w:val="00473963"/>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C1CE5"/>
    <w:rsid w:val="004E0F63"/>
    <w:rsid w:val="004E69F3"/>
    <w:rsid w:val="004F2C29"/>
    <w:rsid w:val="004F6EAB"/>
    <w:rsid w:val="004F733A"/>
    <w:rsid w:val="00504021"/>
    <w:rsid w:val="00507DA2"/>
    <w:rsid w:val="00510779"/>
    <w:rsid w:val="005124B3"/>
    <w:rsid w:val="00512F2D"/>
    <w:rsid w:val="00514500"/>
    <w:rsid w:val="00514B6E"/>
    <w:rsid w:val="00515810"/>
    <w:rsid w:val="005254D7"/>
    <w:rsid w:val="005275A7"/>
    <w:rsid w:val="005276ED"/>
    <w:rsid w:val="00535CFF"/>
    <w:rsid w:val="0054026A"/>
    <w:rsid w:val="005425C4"/>
    <w:rsid w:val="00551A73"/>
    <w:rsid w:val="0055298A"/>
    <w:rsid w:val="00555A3D"/>
    <w:rsid w:val="005560C6"/>
    <w:rsid w:val="00557395"/>
    <w:rsid w:val="00557BB2"/>
    <w:rsid w:val="00560CA0"/>
    <w:rsid w:val="005613B2"/>
    <w:rsid w:val="00570148"/>
    <w:rsid w:val="00571230"/>
    <w:rsid w:val="00572175"/>
    <w:rsid w:val="00576514"/>
    <w:rsid w:val="0058189B"/>
    <w:rsid w:val="00583F6E"/>
    <w:rsid w:val="0058602B"/>
    <w:rsid w:val="005862CB"/>
    <w:rsid w:val="00593D7E"/>
    <w:rsid w:val="00594071"/>
    <w:rsid w:val="00594DBE"/>
    <w:rsid w:val="005A5F14"/>
    <w:rsid w:val="005B20B7"/>
    <w:rsid w:val="005B47F8"/>
    <w:rsid w:val="005B482A"/>
    <w:rsid w:val="005B5ADA"/>
    <w:rsid w:val="005B6B88"/>
    <w:rsid w:val="005C0AD6"/>
    <w:rsid w:val="005C136F"/>
    <w:rsid w:val="005C3905"/>
    <w:rsid w:val="005C5254"/>
    <w:rsid w:val="005C5492"/>
    <w:rsid w:val="005C6A7A"/>
    <w:rsid w:val="005D011D"/>
    <w:rsid w:val="005D41CB"/>
    <w:rsid w:val="005D5760"/>
    <w:rsid w:val="005E667E"/>
    <w:rsid w:val="005F105F"/>
    <w:rsid w:val="005F1BAA"/>
    <w:rsid w:val="005F1F85"/>
    <w:rsid w:val="005F39F3"/>
    <w:rsid w:val="005F6B77"/>
    <w:rsid w:val="00600415"/>
    <w:rsid w:val="00601B10"/>
    <w:rsid w:val="00606EA0"/>
    <w:rsid w:val="0060784B"/>
    <w:rsid w:val="0060A502"/>
    <w:rsid w:val="00611994"/>
    <w:rsid w:val="00611A10"/>
    <w:rsid w:val="0061372D"/>
    <w:rsid w:val="006141A9"/>
    <w:rsid w:val="006215A1"/>
    <w:rsid w:val="00621EBB"/>
    <w:rsid w:val="006220C1"/>
    <w:rsid w:val="00623942"/>
    <w:rsid w:val="00623DB3"/>
    <w:rsid w:val="006249E8"/>
    <w:rsid w:val="00625322"/>
    <w:rsid w:val="00627F46"/>
    <w:rsid w:val="006317C0"/>
    <w:rsid w:val="00632AC0"/>
    <w:rsid w:val="0063316D"/>
    <w:rsid w:val="006358A7"/>
    <w:rsid w:val="0064295B"/>
    <w:rsid w:val="006430D3"/>
    <w:rsid w:val="0066299D"/>
    <w:rsid w:val="006653E8"/>
    <w:rsid w:val="006708AE"/>
    <w:rsid w:val="00680ECF"/>
    <w:rsid w:val="00681E05"/>
    <w:rsid w:val="00690EC8"/>
    <w:rsid w:val="00694BAD"/>
    <w:rsid w:val="006977EF"/>
    <w:rsid w:val="006A15CF"/>
    <w:rsid w:val="006A6FE8"/>
    <w:rsid w:val="006B1684"/>
    <w:rsid w:val="006B6975"/>
    <w:rsid w:val="006C3DA1"/>
    <w:rsid w:val="006D2520"/>
    <w:rsid w:val="006F16C9"/>
    <w:rsid w:val="006F2634"/>
    <w:rsid w:val="006F5AF8"/>
    <w:rsid w:val="00700404"/>
    <w:rsid w:val="00712D10"/>
    <w:rsid w:val="00717EAF"/>
    <w:rsid w:val="0072547E"/>
    <w:rsid w:val="0072698E"/>
    <w:rsid w:val="00726B57"/>
    <w:rsid w:val="007349BB"/>
    <w:rsid w:val="00735627"/>
    <w:rsid w:val="00735EA4"/>
    <w:rsid w:val="00745491"/>
    <w:rsid w:val="00747DA7"/>
    <w:rsid w:val="007547A1"/>
    <w:rsid w:val="00756177"/>
    <w:rsid w:val="00763431"/>
    <w:rsid w:val="00764DD6"/>
    <w:rsid w:val="00767989"/>
    <w:rsid w:val="007723B9"/>
    <w:rsid w:val="00782F42"/>
    <w:rsid w:val="00792240"/>
    <w:rsid w:val="00793AC2"/>
    <w:rsid w:val="00794187"/>
    <w:rsid w:val="00797FB3"/>
    <w:rsid w:val="007A2B49"/>
    <w:rsid w:val="007A35B5"/>
    <w:rsid w:val="007A3DBC"/>
    <w:rsid w:val="007A49BD"/>
    <w:rsid w:val="007B45A5"/>
    <w:rsid w:val="007B6C8A"/>
    <w:rsid w:val="007C34DC"/>
    <w:rsid w:val="007C366B"/>
    <w:rsid w:val="007C3B90"/>
    <w:rsid w:val="007C49C7"/>
    <w:rsid w:val="007C4B67"/>
    <w:rsid w:val="007C512C"/>
    <w:rsid w:val="007C5A25"/>
    <w:rsid w:val="007C786B"/>
    <w:rsid w:val="007C7B1B"/>
    <w:rsid w:val="007D475F"/>
    <w:rsid w:val="007D617A"/>
    <w:rsid w:val="007D72ED"/>
    <w:rsid w:val="007E2393"/>
    <w:rsid w:val="007E57FF"/>
    <w:rsid w:val="007F6BEC"/>
    <w:rsid w:val="00801CB4"/>
    <w:rsid w:val="00802761"/>
    <w:rsid w:val="00802E1D"/>
    <w:rsid w:val="00805FC4"/>
    <w:rsid w:val="00810D83"/>
    <w:rsid w:val="0081204E"/>
    <w:rsid w:val="00815035"/>
    <w:rsid w:val="00816D49"/>
    <w:rsid w:val="00823025"/>
    <w:rsid w:val="0082570C"/>
    <w:rsid w:val="008318EE"/>
    <w:rsid w:val="00840F8E"/>
    <w:rsid w:val="008479DB"/>
    <w:rsid w:val="008506BC"/>
    <w:rsid w:val="008518F0"/>
    <w:rsid w:val="008520F6"/>
    <w:rsid w:val="0085245C"/>
    <w:rsid w:val="00861753"/>
    <w:rsid w:val="00863063"/>
    <w:rsid w:val="00871251"/>
    <w:rsid w:val="00871C18"/>
    <w:rsid w:val="00871C4D"/>
    <w:rsid w:val="00874A10"/>
    <w:rsid w:val="00877DAB"/>
    <w:rsid w:val="00880F6F"/>
    <w:rsid w:val="0088139B"/>
    <w:rsid w:val="00881C0D"/>
    <w:rsid w:val="008879EC"/>
    <w:rsid w:val="00887B73"/>
    <w:rsid w:val="00890D1C"/>
    <w:rsid w:val="00890D76"/>
    <w:rsid w:val="008919DB"/>
    <w:rsid w:val="008960FD"/>
    <w:rsid w:val="008A0174"/>
    <w:rsid w:val="008A1D09"/>
    <w:rsid w:val="008B1666"/>
    <w:rsid w:val="008B6482"/>
    <w:rsid w:val="008C5EC0"/>
    <w:rsid w:val="008D63DC"/>
    <w:rsid w:val="008E08C3"/>
    <w:rsid w:val="008E2108"/>
    <w:rsid w:val="008E3656"/>
    <w:rsid w:val="008E3B5B"/>
    <w:rsid w:val="008F1E25"/>
    <w:rsid w:val="008F712A"/>
    <w:rsid w:val="009033A8"/>
    <w:rsid w:val="009035F1"/>
    <w:rsid w:val="00917A23"/>
    <w:rsid w:val="00917B28"/>
    <w:rsid w:val="00917FD0"/>
    <w:rsid w:val="0092130F"/>
    <w:rsid w:val="00926C3E"/>
    <w:rsid w:val="00934EEC"/>
    <w:rsid w:val="00935103"/>
    <w:rsid w:val="009436B3"/>
    <w:rsid w:val="00944022"/>
    <w:rsid w:val="009448CC"/>
    <w:rsid w:val="00947B85"/>
    <w:rsid w:val="00947C90"/>
    <w:rsid w:val="00950DA2"/>
    <w:rsid w:val="00954531"/>
    <w:rsid w:val="009558A5"/>
    <w:rsid w:val="009573BB"/>
    <w:rsid w:val="00964B96"/>
    <w:rsid w:val="00970DE2"/>
    <w:rsid w:val="0097613A"/>
    <w:rsid w:val="00977FD9"/>
    <w:rsid w:val="009813BA"/>
    <w:rsid w:val="00983A21"/>
    <w:rsid w:val="009853E2"/>
    <w:rsid w:val="00996654"/>
    <w:rsid w:val="00996E0A"/>
    <w:rsid w:val="00996FA7"/>
    <w:rsid w:val="00997099"/>
    <w:rsid w:val="009A207F"/>
    <w:rsid w:val="009A3578"/>
    <w:rsid w:val="009A5E6A"/>
    <w:rsid w:val="009A6026"/>
    <w:rsid w:val="009B0F8F"/>
    <w:rsid w:val="009C31B3"/>
    <w:rsid w:val="009C348D"/>
    <w:rsid w:val="009C37C0"/>
    <w:rsid w:val="009C40BD"/>
    <w:rsid w:val="009D074C"/>
    <w:rsid w:val="009D0794"/>
    <w:rsid w:val="009D0F8E"/>
    <w:rsid w:val="009D1E3B"/>
    <w:rsid w:val="009D4539"/>
    <w:rsid w:val="009D79DE"/>
    <w:rsid w:val="009D7E8C"/>
    <w:rsid w:val="009E0617"/>
    <w:rsid w:val="009E07B1"/>
    <w:rsid w:val="009E7A90"/>
    <w:rsid w:val="009F661E"/>
    <w:rsid w:val="00A068E1"/>
    <w:rsid w:val="00A10000"/>
    <w:rsid w:val="00A114E4"/>
    <w:rsid w:val="00A179C8"/>
    <w:rsid w:val="00A2000F"/>
    <w:rsid w:val="00A22FD9"/>
    <w:rsid w:val="00A245B3"/>
    <w:rsid w:val="00A327BC"/>
    <w:rsid w:val="00A34FB3"/>
    <w:rsid w:val="00A3522F"/>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91240"/>
    <w:rsid w:val="00A92AF3"/>
    <w:rsid w:val="00A93B94"/>
    <w:rsid w:val="00A93E49"/>
    <w:rsid w:val="00A9520F"/>
    <w:rsid w:val="00A960B4"/>
    <w:rsid w:val="00A97ECF"/>
    <w:rsid w:val="00AA158F"/>
    <w:rsid w:val="00AA4889"/>
    <w:rsid w:val="00AA4939"/>
    <w:rsid w:val="00AA5190"/>
    <w:rsid w:val="00AB1034"/>
    <w:rsid w:val="00AB1AE0"/>
    <w:rsid w:val="00AB2A04"/>
    <w:rsid w:val="00AB3BB0"/>
    <w:rsid w:val="00AB5DD8"/>
    <w:rsid w:val="00AB5E06"/>
    <w:rsid w:val="00AB6A45"/>
    <w:rsid w:val="00AB6C46"/>
    <w:rsid w:val="00AC13DA"/>
    <w:rsid w:val="00AC4840"/>
    <w:rsid w:val="00AC6E64"/>
    <w:rsid w:val="00AD423C"/>
    <w:rsid w:val="00AD71EF"/>
    <w:rsid w:val="00AE2C3F"/>
    <w:rsid w:val="00B026F5"/>
    <w:rsid w:val="00B04880"/>
    <w:rsid w:val="00B054D1"/>
    <w:rsid w:val="00B05659"/>
    <w:rsid w:val="00B062EA"/>
    <w:rsid w:val="00B06671"/>
    <w:rsid w:val="00B12B57"/>
    <w:rsid w:val="00B147FE"/>
    <w:rsid w:val="00B16849"/>
    <w:rsid w:val="00B22FFD"/>
    <w:rsid w:val="00B2609F"/>
    <w:rsid w:val="00B32541"/>
    <w:rsid w:val="00B32C21"/>
    <w:rsid w:val="00B435F3"/>
    <w:rsid w:val="00B442D5"/>
    <w:rsid w:val="00B465F8"/>
    <w:rsid w:val="00B55BD6"/>
    <w:rsid w:val="00B567AC"/>
    <w:rsid w:val="00B70661"/>
    <w:rsid w:val="00B71B1F"/>
    <w:rsid w:val="00B75311"/>
    <w:rsid w:val="00B7755E"/>
    <w:rsid w:val="00B87A8D"/>
    <w:rsid w:val="00B90D95"/>
    <w:rsid w:val="00B925E0"/>
    <w:rsid w:val="00B96929"/>
    <w:rsid w:val="00BA150C"/>
    <w:rsid w:val="00BA226A"/>
    <w:rsid w:val="00BA4E6E"/>
    <w:rsid w:val="00BA510F"/>
    <w:rsid w:val="00BA6CC7"/>
    <w:rsid w:val="00BA6CF2"/>
    <w:rsid w:val="00BB1393"/>
    <w:rsid w:val="00BB4B26"/>
    <w:rsid w:val="00BC665D"/>
    <w:rsid w:val="00BD01CA"/>
    <w:rsid w:val="00BD3DD5"/>
    <w:rsid w:val="00BD3F77"/>
    <w:rsid w:val="00BE1795"/>
    <w:rsid w:val="00BE17E4"/>
    <w:rsid w:val="00BE1BA7"/>
    <w:rsid w:val="00BE2B9C"/>
    <w:rsid w:val="00BE3658"/>
    <w:rsid w:val="00BE7573"/>
    <w:rsid w:val="00BF043D"/>
    <w:rsid w:val="00BF1A19"/>
    <w:rsid w:val="00BF2B99"/>
    <w:rsid w:val="00C00C28"/>
    <w:rsid w:val="00C055CA"/>
    <w:rsid w:val="00C06282"/>
    <w:rsid w:val="00C062D6"/>
    <w:rsid w:val="00C13536"/>
    <w:rsid w:val="00C3198C"/>
    <w:rsid w:val="00C32B82"/>
    <w:rsid w:val="00C34CF7"/>
    <w:rsid w:val="00C36290"/>
    <w:rsid w:val="00C36B7A"/>
    <w:rsid w:val="00C41818"/>
    <w:rsid w:val="00C52561"/>
    <w:rsid w:val="00C553A4"/>
    <w:rsid w:val="00C55459"/>
    <w:rsid w:val="00C579F3"/>
    <w:rsid w:val="00C608FC"/>
    <w:rsid w:val="00C63152"/>
    <w:rsid w:val="00C634C6"/>
    <w:rsid w:val="00C669EF"/>
    <w:rsid w:val="00C744E0"/>
    <w:rsid w:val="00C74DB4"/>
    <w:rsid w:val="00C7617D"/>
    <w:rsid w:val="00C77084"/>
    <w:rsid w:val="00C8075F"/>
    <w:rsid w:val="00C81DC4"/>
    <w:rsid w:val="00C824F3"/>
    <w:rsid w:val="00C868E5"/>
    <w:rsid w:val="00C923DA"/>
    <w:rsid w:val="00C97B79"/>
    <w:rsid w:val="00C97CE3"/>
    <w:rsid w:val="00CA4892"/>
    <w:rsid w:val="00CA555C"/>
    <w:rsid w:val="00CB04B6"/>
    <w:rsid w:val="00CB1A6C"/>
    <w:rsid w:val="00CC526D"/>
    <w:rsid w:val="00CD30EB"/>
    <w:rsid w:val="00CD32EF"/>
    <w:rsid w:val="00CD3FEE"/>
    <w:rsid w:val="00CD5861"/>
    <w:rsid w:val="00CE12D1"/>
    <w:rsid w:val="00CE153C"/>
    <w:rsid w:val="00CE166A"/>
    <w:rsid w:val="00CE26E1"/>
    <w:rsid w:val="00CE3404"/>
    <w:rsid w:val="00CE54F0"/>
    <w:rsid w:val="00CE553B"/>
    <w:rsid w:val="00CE5BAC"/>
    <w:rsid w:val="00CE71D8"/>
    <w:rsid w:val="00CF12A4"/>
    <w:rsid w:val="00D00D11"/>
    <w:rsid w:val="00D04190"/>
    <w:rsid w:val="00D10C0E"/>
    <w:rsid w:val="00D11798"/>
    <w:rsid w:val="00D12A1F"/>
    <w:rsid w:val="00D30E95"/>
    <w:rsid w:val="00D320A6"/>
    <w:rsid w:val="00D478E6"/>
    <w:rsid w:val="00D5192C"/>
    <w:rsid w:val="00D51E2F"/>
    <w:rsid w:val="00D5218F"/>
    <w:rsid w:val="00D53738"/>
    <w:rsid w:val="00D55DAA"/>
    <w:rsid w:val="00D578E5"/>
    <w:rsid w:val="00D57C4E"/>
    <w:rsid w:val="00D64354"/>
    <w:rsid w:val="00D90E24"/>
    <w:rsid w:val="00D91935"/>
    <w:rsid w:val="00D9277B"/>
    <w:rsid w:val="00D95F53"/>
    <w:rsid w:val="00DA12F1"/>
    <w:rsid w:val="00DA50AB"/>
    <w:rsid w:val="00DC071E"/>
    <w:rsid w:val="00DC3BC5"/>
    <w:rsid w:val="00DD2500"/>
    <w:rsid w:val="00DD2BA6"/>
    <w:rsid w:val="00DD5E59"/>
    <w:rsid w:val="00DD610A"/>
    <w:rsid w:val="00DD7248"/>
    <w:rsid w:val="00DE069B"/>
    <w:rsid w:val="00DE2085"/>
    <w:rsid w:val="00DE2D4A"/>
    <w:rsid w:val="00DE6824"/>
    <w:rsid w:val="00DE6BC3"/>
    <w:rsid w:val="00DE6DA3"/>
    <w:rsid w:val="00DF04C3"/>
    <w:rsid w:val="00DF2F23"/>
    <w:rsid w:val="00DF53AC"/>
    <w:rsid w:val="00E0329C"/>
    <w:rsid w:val="00E03F66"/>
    <w:rsid w:val="00E04370"/>
    <w:rsid w:val="00E12DE3"/>
    <w:rsid w:val="00E1475E"/>
    <w:rsid w:val="00E147C0"/>
    <w:rsid w:val="00E1644D"/>
    <w:rsid w:val="00E25950"/>
    <w:rsid w:val="00E31C59"/>
    <w:rsid w:val="00E322A8"/>
    <w:rsid w:val="00E332A0"/>
    <w:rsid w:val="00E36315"/>
    <w:rsid w:val="00E4691C"/>
    <w:rsid w:val="00E47F9C"/>
    <w:rsid w:val="00E51111"/>
    <w:rsid w:val="00E5595D"/>
    <w:rsid w:val="00E56CE8"/>
    <w:rsid w:val="00E60D27"/>
    <w:rsid w:val="00E66AAA"/>
    <w:rsid w:val="00E66F39"/>
    <w:rsid w:val="00E7682A"/>
    <w:rsid w:val="00E86422"/>
    <w:rsid w:val="00E904DF"/>
    <w:rsid w:val="00EA00B1"/>
    <w:rsid w:val="00EA0B23"/>
    <w:rsid w:val="00EBD2F4"/>
    <w:rsid w:val="00EC1E58"/>
    <w:rsid w:val="00EC1FD6"/>
    <w:rsid w:val="00EC32EC"/>
    <w:rsid w:val="00EC4CF5"/>
    <w:rsid w:val="00ED7525"/>
    <w:rsid w:val="00EE124D"/>
    <w:rsid w:val="00F063C2"/>
    <w:rsid w:val="00F105AB"/>
    <w:rsid w:val="00F13B42"/>
    <w:rsid w:val="00F14C9D"/>
    <w:rsid w:val="00F16013"/>
    <w:rsid w:val="00F1737B"/>
    <w:rsid w:val="00F17384"/>
    <w:rsid w:val="00F1794B"/>
    <w:rsid w:val="00F21B4A"/>
    <w:rsid w:val="00F24739"/>
    <w:rsid w:val="00F33B64"/>
    <w:rsid w:val="00F36BEA"/>
    <w:rsid w:val="00F370FA"/>
    <w:rsid w:val="00F50A94"/>
    <w:rsid w:val="00F53530"/>
    <w:rsid w:val="00F56CE9"/>
    <w:rsid w:val="00F62CDD"/>
    <w:rsid w:val="00F63338"/>
    <w:rsid w:val="00F639CE"/>
    <w:rsid w:val="00F64DD8"/>
    <w:rsid w:val="00F64EE3"/>
    <w:rsid w:val="00F76A4F"/>
    <w:rsid w:val="00F8100B"/>
    <w:rsid w:val="00F81AB0"/>
    <w:rsid w:val="00F83440"/>
    <w:rsid w:val="00F83734"/>
    <w:rsid w:val="00F850D3"/>
    <w:rsid w:val="00FA0DDA"/>
    <w:rsid w:val="00FA2BE1"/>
    <w:rsid w:val="00FA5553"/>
    <w:rsid w:val="00FB441B"/>
    <w:rsid w:val="00FB52B3"/>
    <w:rsid w:val="00FB52E4"/>
    <w:rsid w:val="00FB58D0"/>
    <w:rsid w:val="00FC13CE"/>
    <w:rsid w:val="00FD3173"/>
    <w:rsid w:val="00FD3401"/>
    <w:rsid w:val="00FD634C"/>
    <w:rsid w:val="00FD67CB"/>
    <w:rsid w:val="00FE05B2"/>
    <w:rsid w:val="00FE4BC7"/>
    <w:rsid w:val="00FE64A5"/>
    <w:rsid w:val="00FF2666"/>
    <w:rsid w:val="00FF5C64"/>
    <w:rsid w:val="00FF6147"/>
    <w:rsid w:val="019AD2C3"/>
    <w:rsid w:val="01EAC843"/>
    <w:rsid w:val="01EDA445"/>
    <w:rsid w:val="0217B2FA"/>
    <w:rsid w:val="0233FCF0"/>
    <w:rsid w:val="024AE75E"/>
    <w:rsid w:val="02DDD167"/>
    <w:rsid w:val="031372DA"/>
    <w:rsid w:val="032C8B6A"/>
    <w:rsid w:val="0388A2B7"/>
    <w:rsid w:val="03EC2A47"/>
    <w:rsid w:val="044AF618"/>
    <w:rsid w:val="0469E54B"/>
    <w:rsid w:val="0491A66E"/>
    <w:rsid w:val="051CECEC"/>
    <w:rsid w:val="0535490E"/>
    <w:rsid w:val="06EBF237"/>
    <w:rsid w:val="070BF884"/>
    <w:rsid w:val="071F23EB"/>
    <w:rsid w:val="078226B1"/>
    <w:rsid w:val="07CF23F8"/>
    <w:rsid w:val="087BA157"/>
    <w:rsid w:val="08B9DF46"/>
    <w:rsid w:val="0937908B"/>
    <w:rsid w:val="09919DDC"/>
    <w:rsid w:val="0A85038A"/>
    <w:rsid w:val="0AC2B0E7"/>
    <w:rsid w:val="0B8F061D"/>
    <w:rsid w:val="0BD4BC2C"/>
    <w:rsid w:val="0BF4DB59"/>
    <w:rsid w:val="0C873F9B"/>
    <w:rsid w:val="0C9C4889"/>
    <w:rsid w:val="0CC2105A"/>
    <w:rsid w:val="0CCFAE13"/>
    <w:rsid w:val="0D51B70A"/>
    <w:rsid w:val="0D75D553"/>
    <w:rsid w:val="0D7EC749"/>
    <w:rsid w:val="0DFFE4EB"/>
    <w:rsid w:val="0E35A273"/>
    <w:rsid w:val="0E4EB5C5"/>
    <w:rsid w:val="0E58B45C"/>
    <w:rsid w:val="0E81E75A"/>
    <w:rsid w:val="0EE52791"/>
    <w:rsid w:val="0F15E24F"/>
    <w:rsid w:val="0FE6491B"/>
    <w:rsid w:val="10DA2D6D"/>
    <w:rsid w:val="10EDCC84"/>
    <w:rsid w:val="10FE3CA6"/>
    <w:rsid w:val="11298190"/>
    <w:rsid w:val="11390FDA"/>
    <w:rsid w:val="118B64DC"/>
    <w:rsid w:val="11F04149"/>
    <w:rsid w:val="11FACB56"/>
    <w:rsid w:val="128F503A"/>
    <w:rsid w:val="1300D773"/>
    <w:rsid w:val="1308AA40"/>
    <w:rsid w:val="131B677A"/>
    <w:rsid w:val="137CDBFD"/>
    <w:rsid w:val="13D56B3B"/>
    <w:rsid w:val="13FB1EA8"/>
    <w:rsid w:val="1463D6E6"/>
    <w:rsid w:val="14CE483A"/>
    <w:rsid w:val="1571D225"/>
    <w:rsid w:val="15CD2DC8"/>
    <w:rsid w:val="15D467E5"/>
    <w:rsid w:val="160DF2C7"/>
    <w:rsid w:val="16D12A7C"/>
    <w:rsid w:val="172C097B"/>
    <w:rsid w:val="1789BFCB"/>
    <w:rsid w:val="17F0751C"/>
    <w:rsid w:val="18347136"/>
    <w:rsid w:val="187A43B9"/>
    <w:rsid w:val="18D30B45"/>
    <w:rsid w:val="18D3CE92"/>
    <w:rsid w:val="190F0EF7"/>
    <w:rsid w:val="192959CC"/>
    <w:rsid w:val="195CF1EB"/>
    <w:rsid w:val="1973E0BE"/>
    <w:rsid w:val="1A18E15F"/>
    <w:rsid w:val="1A1DE826"/>
    <w:rsid w:val="1ACCDC97"/>
    <w:rsid w:val="1AE060CD"/>
    <w:rsid w:val="1B3C9D92"/>
    <w:rsid w:val="1BDECBCD"/>
    <w:rsid w:val="1C6F29AD"/>
    <w:rsid w:val="1CB27DBF"/>
    <w:rsid w:val="1D0BB66D"/>
    <w:rsid w:val="1D3D5163"/>
    <w:rsid w:val="1D575E5F"/>
    <w:rsid w:val="1D675002"/>
    <w:rsid w:val="1EA20219"/>
    <w:rsid w:val="1F101A84"/>
    <w:rsid w:val="1F4668B4"/>
    <w:rsid w:val="204BBA67"/>
    <w:rsid w:val="2088507C"/>
    <w:rsid w:val="20C07987"/>
    <w:rsid w:val="21113E2C"/>
    <w:rsid w:val="214928CC"/>
    <w:rsid w:val="21509FEE"/>
    <w:rsid w:val="21917B77"/>
    <w:rsid w:val="21DDF978"/>
    <w:rsid w:val="21F01914"/>
    <w:rsid w:val="21F804F3"/>
    <w:rsid w:val="2216033C"/>
    <w:rsid w:val="2225B6AC"/>
    <w:rsid w:val="2258931A"/>
    <w:rsid w:val="23251412"/>
    <w:rsid w:val="23D64617"/>
    <w:rsid w:val="23FC8884"/>
    <w:rsid w:val="2492BFD3"/>
    <w:rsid w:val="27035C05"/>
    <w:rsid w:val="27288B4E"/>
    <w:rsid w:val="2782891A"/>
    <w:rsid w:val="27DEE1C1"/>
    <w:rsid w:val="2884B4CC"/>
    <w:rsid w:val="28E48B31"/>
    <w:rsid w:val="29C76CC7"/>
    <w:rsid w:val="29F099F0"/>
    <w:rsid w:val="29FA53F4"/>
    <w:rsid w:val="29FBDD73"/>
    <w:rsid w:val="2A43A9E6"/>
    <w:rsid w:val="2AB0D79F"/>
    <w:rsid w:val="2AB4FD52"/>
    <w:rsid w:val="2BCF1CD6"/>
    <w:rsid w:val="2BF9CD69"/>
    <w:rsid w:val="2BFB1582"/>
    <w:rsid w:val="2C791236"/>
    <w:rsid w:val="2D0EADE8"/>
    <w:rsid w:val="2E8FE3CC"/>
    <w:rsid w:val="2EFD0D6A"/>
    <w:rsid w:val="2F3FB796"/>
    <w:rsid w:val="2F66ED94"/>
    <w:rsid w:val="30F28289"/>
    <w:rsid w:val="31158014"/>
    <w:rsid w:val="316148C9"/>
    <w:rsid w:val="3180C636"/>
    <w:rsid w:val="31D99F09"/>
    <w:rsid w:val="328279D2"/>
    <w:rsid w:val="32A29DEA"/>
    <w:rsid w:val="32C62C7B"/>
    <w:rsid w:val="32DE02D3"/>
    <w:rsid w:val="33AE4E8C"/>
    <w:rsid w:val="34264931"/>
    <w:rsid w:val="3439ED6B"/>
    <w:rsid w:val="34C9B547"/>
    <w:rsid w:val="3640393A"/>
    <w:rsid w:val="3705FC63"/>
    <w:rsid w:val="371CB75F"/>
    <w:rsid w:val="3736F7FC"/>
    <w:rsid w:val="37DE4CF8"/>
    <w:rsid w:val="37F7693F"/>
    <w:rsid w:val="3853DFF9"/>
    <w:rsid w:val="392B5E96"/>
    <w:rsid w:val="395AFE35"/>
    <w:rsid w:val="39B8C666"/>
    <w:rsid w:val="3A3507B7"/>
    <w:rsid w:val="3A507908"/>
    <w:rsid w:val="3AB2D379"/>
    <w:rsid w:val="3B1CB0FD"/>
    <w:rsid w:val="3B79DB25"/>
    <w:rsid w:val="3BE4CF68"/>
    <w:rsid w:val="3C650C01"/>
    <w:rsid w:val="3C80DED4"/>
    <w:rsid w:val="3D090CD6"/>
    <w:rsid w:val="3D62B705"/>
    <w:rsid w:val="3DD02F92"/>
    <w:rsid w:val="3DD58FEE"/>
    <w:rsid w:val="3DF541FD"/>
    <w:rsid w:val="3E09C437"/>
    <w:rsid w:val="3E0FB6DA"/>
    <w:rsid w:val="3E2886C5"/>
    <w:rsid w:val="3E9CA5B1"/>
    <w:rsid w:val="3EA31F6A"/>
    <w:rsid w:val="3EDE05E5"/>
    <w:rsid w:val="3EF41259"/>
    <w:rsid w:val="3F283647"/>
    <w:rsid w:val="3F333782"/>
    <w:rsid w:val="3F448D2B"/>
    <w:rsid w:val="3F7CF6E0"/>
    <w:rsid w:val="3FCABECB"/>
    <w:rsid w:val="40F581FF"/>
    <w:rsid w:val="4102DC89"/>
    <w:rsid w:val="4154B5BF"/>
    <w:rsid w:val="4219CE79"/>
    <w:rsid w:val="4286D7CB"/>
    <w:rsid w:val="42F5C7BE"/>
    <w:rsid w:val="430AE92B"/>
    <w:rsid w:val="4327E13A"/>
    <w:rsid w:val="43427E51"/>
    <w:rsid w:val="4384A1F3"/>
    <w:rsid w:val="4387AA53"/>
    <w:rsid w:val="44195F09"/>
    <w:rsid w:val="44DFFC18"/>
    <w:rsid w:val="45E53372"/>
    <w:rsid w:val="45E8912A"/>
    <w:rsid w:val="45FEACC2"/>
    <w:rsid w:val="462A9A49"/>
    <w:rsid w:val="46E99FCF"/>
    <w:rsid w:val="47028A7B"/>
    <w:rsid w:val="47261A7C"/>
    <w:rsid w:val="472BE12B"/>
    <w:rsid w:val="475740F4"/>
    <w:rsid w:val="4792AF9D"/>
    <w:rsid w:val="4846EBBA"/>
    <w:rsid w:val="48771406"/>
    <w:rsid w:val="49C5CA9A"/>
    <w:rsid w:val="49E7C0F5"/>
    <w:rsid w:val="4AEFFD99"/>
    <w:rsid w:val="4B11FC66"/>
    <w:rsid w:val="4B758873"/>
    <w:rsid w:val="4B891DA9"/>
    <w:rsid w:val="4B9B1900"/>
    <w:rsid w:val="4BAD8CD8"/>
    <w:rsid w:val="4C28B93E"/>
    <w:rsid w:val="4C2E2794"/>
    <w:rsid w:val="4CA0518D"/>
    <w:rsid w:val="4D5EEAA5"/>
    <w:rsid w:val="4D63F4F2"/>
    <w:rsid w:val="4D761560"/>
    <w:rsid w:val="4D84DD9F"/>
    <w:rsid w:val="4E0B1640"/>
    <w:rsid w:val="4EF7192D"/>
    <w:rsid w:val="4F575FB0"/>
    <w:rsid w:val="4F855749"/>
    <w:rsid w:val="4FF33404"/>
    <w:rsid w:val="500E81BD"/>
    <w:rsid w:val="510CB34E"/>
    <w:rsid w:val="513F1CB4"/>
    <w:rsid w:val="51407B5D"/>
    <w:rsid w:val="5144A2F0"/>
    <w:rsid w:val="515472B9"/>
    <w:rsid w:val="52396693"/>
    <w:rsid w:val="52BEDA85"/>
    <w:rsid w:val="539BE707"/>
    <w:rsid w:val="542D39E9"/>
    <w:rsid w:val="54BB01DD"/>
    <w:rsid w:val="54CDFF44"/>
    <w:rsid w:val="5572EE67"/>
    <w:rsid w:val="5573CEDF"/>
    <w:rsid w:val="5639DA55"/>
    <w:rsid w:val="564D6BC0"/>
    <w:rsid w:val="565FEF54"/>
    <w:rsid w:val="56EC347E"/>
    <w:rsid w:val="571EFC20"/>
    <w:rsid w:val="5767D246"/>
    <w:rsid w:val="578518AC"/>
    <w:rsid w:val="578F585D"/>
    <w:rsid w:val="580352BB"/>
    <w:rsid w:val="58128521"/>
    <w:rsid w:val="58FFD95A"/>
    <w:rsid w:val="597167A6"/>
    <w:rsid w:val="59F8A328"/>
    <w:rsid w:val="5A34C931"/>
    <w:rsid w:val="5AE74A73"/>
    <w:rsid w:val="5AF9D1CB"/>
    <w:rsid w:val="5B001B30"/>
    <w:rsid w:val="5B2981C0"/>
    <w:rsid w:val="5C9A8CA7"/>
    <w:rsid w:val="5CB398A6"/>
    <w:rsid w:val="5CF424A2"/>
    <w:rsid w:val="5DCF5198"/>
    <w:rsid w:val="5DFA141A"/>
    <w:rsid w:val="5E0732CE"/>
    <w:rsid w:val="5E1E3AA5"/>
    <w:rsid w:val="5E88A6A8"/>
    <w:rsid w:val="5E90212E"/>
    <w:rsid w:val="5E99EC9E"/>
    <w:rsid w:val="5EBFB374"/>
    <w:rsid w:val="5F0A3CE1"/>
    <w:rsid w:val="5F0FE93C"/>
    <w:rsid w:val="5F3F4370"/>
    <w:rsid w:val="5F538F7A"/>
    <w:rsid w:val="6014E2E8"/>
    <w:rsid w:val="604319E0"/>
    <w:rsid w:val="6044ACEE"/>
    <w:rsid w:val="606D1F17"/>
    <w:rsid w:val="6095ADAA"/>
    <w:rsid w:val="613B4158"/>
    <w:rsid w:val="618E0E46"/>
    <w:rsid w:val="61A80121"/>
    <w:rsid w:val="61CCB907"/>
    <w:rsid w:val="61D08B00"/>
    <w:rsid w:val="625DA9C3"/>
    <w:rsid w:val="626639CD"/>
    <w:rsid w:val="62E386F6"/>
    <w:rsid w:val="632388B5"/>
    <w:rsid w:val="636A98CB"/>
    <w:rsid w:val="63A4021E"/>
    <w:rsid w:val="64E8FDDB"/>
    <w:rsid w:val="6526384B"/>
    <w:rsid w:val="65641E03"/>
    <w:rsid w:val="6569F32E"/>
    <w:rsid w:val="65826318"/>
    <w:rsid w:val="65AF2DC9"/>
    <w:rsid w:val="65D4628F"/>
    <w:rsid w:val="65DE8411"/>
    <w:rsid w:val="661B0BFD"/>
    <w:rsid w:val="662C7001"/>
    <w:rsid w:val="662E726B"/>
    <w:rsid w:val="66E4285A"/>
    <w:rsid w:val="670B62E4"/>
    <w:rsid w:val="675A054D"/>
    <w:rsid w:val="69072B04"/>
    <w:rsid w:val="692A4020"/>
    <w:rsid w:val="694E981B"/>
    <w:rsid w:val="69854B4A"/>
    <w:rsid w:val="6AB778E2"/>
    <w:rsid w:val="6AEE99D9"/>
    <w:rsid w:val="6BECB663"/>
    <w:rsid w:val="6C28D2AE"/>
    <w:rsid w:val="6C608511"/>
    <w:rsid w:val="6D6162F1"/>
    <w:rsid w:val="6DC52214"/>
    <w:rsid w:val="6E1F3B40"/>
    <w:rsid w:val="6E30BB23"/>
    <w:rsid w:val="6F9DEEF8"/>
    <w:rsid w:val="6FB9B4FA"/>
    <w:rsid w:val="70704154"/>
    <w:rsid w:val="70BB263C"/>
    <w:rsid w:val="710E0089"/>
    <w:rsid w:val="714249FF"/>
    <w:rsid w:val="71468AF5"/>
    <w:rsid w:val="7188F319"/>
    <w:rsid w:val="71E1DF6E"/>
    <w:rsid w:val="7206D54F"/>
    <w:rsid w:val="72382D52"/>
    <w:rsid w:val="727D8E4D"/>
    <w:rsid w:val="7288133B"/>
    <w:rsid w:val="72CA739B"/>
    <w:rsid w:val="72F7FE25"/>
    <w:rsid w:val="73259F35"/>
    <w:rsid w:val="7354317A"/>
    <w:rsid w:val="735B2016"/>
    <w:rsid w:val="739CABCB"/>
    <w:rsid w:val="73CE1F60"/>
    <w:rsid w:val="7406D88A"/>
    <w:rsid w:val="7419DECE"/>
    <w:rsid w:val="741E223E"/>
    <w:rsid w:val="742D950E"/>
    <w:rsid w:val="74BF9DF5"/>
    <w:rsid w:val="7560E0DC"/>
    <w:rsid w:val="75FB300B"/>
    <w:rsid w:val="76234C71"/>
    <w:rsid w:val="76299E85"/>
    <w:rsid w:val="764419AD"/>
    <w:rsid w:val="766B53F7"/>
    <w:rsid w:val="76A3E421"/>
    <w:rsid w:val="77018A98"/>
    <w:rsid w:val="7745D1A7"/>
    <w:rsid w:val="779B4A43"/>
    <w:rsid w:val="77FEF696"/>
    <w:rsid w:val="78124D49"/>
    <w:rsid w:val="78301340"/>
    <w:rsid w:val="785D6ABE"/>
    <w:rsid w:val="786F0485"/>
    <w:rsid w:val="79353615"/>
    <w:rsid w:val="7937FF5C"/>
    <w:rsid w:val="7964C159"/>
    <w:rsid w:val="796C8579"/>
    <w:rsid w:val="798B7370"/>
    <w:rsid w:val="79A59635"/>
    <w:rsid w:val="7A050088"/>
    <w:rsid w:val="7A17063A"/>
    <w:rsid w:val="7AD26629"/>
    <w:rsid w:val="7B3712C4"/>
    <w:rsid w:val="7B5D8A5D"/>
    <w:rsid w:val="7B99A21E"/>
    <w:rsid w:val="7C028C8B"/>
    <w:rsid w:val="7C351954"/>
    <w:rsid w:val="7C47E5AD"/>
    <w:rsid w:val="7C62B56C"/>
    <w:rsid w:val="7C91A175"/>
    <w:rsid w:val="7D55A69D"/>
    <w:rsid w:val="7D6E4855"/>
    <w:rsid w:val="7DC59ADD"/>
    <w:rsid w:val="7E0A41FB"/>
    <w:rsid w:val="7E155522"/>
    <w:rsid w:val="7E17A71E"/>
    <w:rsid w:val="7E7C5CC5"/>
    <w:rsid w:val="7F4C8694"/>
    <w:rsid w:val="7F8CD66E"/>
    <w:rsid w:val="7FAAA343"/>
    <w:rsid w:val="7FDC0B2B"/>
    <w:rsid w:val="7FE48DAA"/>
    <w:rsid w:val="7FF151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73ABD532-2E73-4088-9017-7492B638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paragraph" w:customStyle="1" w:styleId="Default">
    <w:name w:val="Default"/>
    <w:rsid w:val="008919D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kri.org/publications/research-england-grant-allocations-to-heps-2025-to-2026/research-england-grant-allocations-basis-2025-to-2026/" TargetMode="External"/><Relationship Id="rId3" Type="http://schemas.openxmlformats.org/officeDocument/2006/relationships/customXml" Target="../customXml/item3.xml"/><Relationship Id="rId21" Type="http://schemas.openxmlformats.org/officeDocument/2006/relationships/hyperlink" Target="https://www.ukri.org/wp-content/uploads/2024/08/RE-08082024-Equality-Impact-Assessment-for-SIRF-review_Aug-2024_v1_FINAL.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ukri.org/publications/knowledge-exchange-framework-clustering-and-narrative-templates/" TargetMode="External"/><Relationship Id="rId2" Type="http://schemas.openxmlformats.org/officeDocument/2006/relationships/customXml" Target="../customXml/item2.xml"/><Relationship Id="rId16" Type="http://schemas.openxmlformats.org/officeDocument/2006/relationships/hyperlink" Target="https://www.hesa.ac.uk/data-and-analysis" TargetMode="External"/><Relationship Id="rId20" Type="http://schemas.openxmlformats.org/officeDocument/2006/relationships/hyperlink" Target="https://repository.jisc.ac.uk/9145/1/future-research-assessment-programme-provisional-equality-impact-assessmen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ukri.org/wp-content/uploads/2023/03/UKRI-220323-UKRIEDIStrategyConceptsCorporateRT.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kri.org/publications/institutional-engagement-strategy-and-equality-impact-assess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885b532e-c01f-4403-bdef-46fae76b0492">
      <Terms xmlns="http://schemas.microsoft.com/office/infopath/2007/PartnerControls"/>
    </lcf76f155ced4ddcb4097134ff3c332f>
  </documentManagement>
</p:properties>
</file>

<file path=customXml/item2.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EABE2E02E4E8B489FE2266B0C01F39D" ma:contentTypeVersion="19" ma:contentTypeDescription="Create a new document." ma:contentTypeScope="" ma:versionID="5b05f88088f9c6ac5e896373c6c5b456">
  <xsd:schema xmlns:xsd="http://www.w3.org/2001/XMLSchema" xmlns:xs="http://www.w3.org/2001/XMLSchema" xmlns:p="http://schemas.microsoft.com/office/2006/metadata/properties" xmlns:ns2="885b532e-c01f-4403-bdef-46fae76b0492" xmlns:ns3="df2dd78d-b831-4b5f-a122-ebfe8e34b449" xmlns:ns4="2e24dfb7-a69e-40eb-b94f-44b9ca9c25ed" targetNamespace="http://schemas.microsoft.com/office/2006/metadata/properties" ma:root="true" ma:fieldsID="5ff6e93f9918b6b7f688d65f459d6f41" ns2:_="" ns3:_="" ns4:_="">
    <xsd:import namespace="885b532e-c01f-4403-bdef-46fae76b0492"/>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b532e-c01f-4403-bdef-46fae76b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E25C5-BD44-4E2A-939E-DD4DE970574E}">
  <ds:schemaRefs>
    <ds:schemaRef ds:uri="http://purl.org/dc/terms/"/>
    <ds:schemaRef ds:uri="2e24dfb7-a69e-40eb-b94f-44b9ca9c25ed"/>
    <ds:schemaRef ds:uri="http://schemas.microsoft.com/office/2006/documentManagement/types"/>
    <ds:schemaRef ds:uri="http://schemas.microsoft.com/office/2006/metadata/properties"/>
    <ds:schemaRef ds:uri="http://purl.org/dc/dcmitype/"/>
    <ds:schemaRef ds:uri="df2dd78d-b831-4b5f-a122-ebfe8e34b449"/>
    <ds:schemaRef ds:uri="http://purl.org/dc/elements/1.1/"/>
    <ds:schemaRef ds:uri="http://schemas.openxmlformats.org/package/2006/metadata/core-properties"/>
    <ds:schemaRef ds:uri="http://www.w3.org/XML/1998/namespace"/>
    <ds:schemaRef ds:uri="http://schemas.microsoft.com/office/infopath/2007/PartnerControls"/>
    <ds:schemaRef ds:uri="885b532e-c01f-4403-bdef-46fae76b0492"/>
  </ds:schemaRefs>
</ds:datastoreItem>
</file>

<file path=customXml/itemProps2.xml><?xml version="1.0" encoding="utf-8"?>
<ds:datastoreItem xmlns:ds="http://schemas.openxmlformats.org/officeDocument/2006/customXml" ds:itemID="{39CAD6CD-4B9E-4396-A5B7-BA7965ECAE76}">
  <ds:schemaRefs>
    <ds:schemaRef ds:uri="http://www.imanage.com/work/xmlschema"/>
  </ds:schemaRefs>
</ds:datastoreItem>
</file>

<file path=customXml/itemProps3.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4.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5.xml><?xml version="1.0" encoding="utf-8"?>
<ds:datastoreItem xmlns:ds="http://schemas.openxmlformats.org/officeDocument/2006/customXml" ds:itemID="{61E9D4B7-9C42-4EBB-8498-1E5B7264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b532e-c01f-4403-bdef-46fae76b0492"/>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Equality Impact Assessment for the HEIF Review</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for the HEIF Review</dc:title>
  <dc:subject/>
  <dc:creator>Clemency Hitchings - UKRI</dc:creator>
  <cp:keywords/>
  <dc:description/>
  <cp:lastModifiedBy>Jessica Lucia - Research England UKRI</cp:lastModifiedBy>
  <cp:revision>76</cp:revision>
  <dcterms:created xsi:type="dcterms:W3CDTF">2023-08-02T01:02:00Z</dcterms:created>
  <dcterms:modified xsi:type="dcterms:W3CDTF">2026-03-27T15:25:00Z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0x010100DEABE2E02E4E8B489FE2266B0C01F39D</vt:lpwstr>
  </property>
  <property fmtid="{D5CDD505-2E9C-101B-9397-08002B2CF9AE}" pid="3" name="MediaServiceImageTags">
    <vt:lpwstr/>
  </property>
  <property fmtid="{D5CDD505-2E9C-101B-9397-08002B2CF9AE}" pid="4" name="_dlc_DocIdItemGuid">
    <vt:lpwstr>799eed32-36df-42c4-904d-e43e1778e8e9</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docLang">
    <vt:lpwstr>en</vt:lpwstr>
  </property>
  <property fmtid="{D5CDD505-2E9C-101B-9397-08002B2CF9AE}" pid="10" name="MSIP_Label_34c27a6e-c833-42bb-83c2-622284533524_Enabled">
    <vt:lpwstr>true</vt:lpwstr>
  </property>
  <property fmtid="{D5CDD505-2E9C-101B-9397-08002B2CF9AE}" pid="11" name="MSIP_Label_34c27a6e-c833-42bb-83c2-622284533524_SetDate">
    <vt:lpwstr>2026-02-24T09:35:29Z</vt:lpwstr>
  </property>
  <property fmtid="{D5CDD505-2E9C-101B-9397-08002B2CF9AE}" pid="12" name="MSIP_Label_34c27a6e-c833-42bb-83c2-622284533524_Method">
    <vt:lpwstr>Standard</vt:lpwstr>
  </property>
  <property fmtid="{D5CDD505-2E9C-101B-9397-08002B2CF9AE}" pid="13" name="MSIP_Label_34c27a6e-c833-42bb-83c2-622284533524_Name">
    <vt:lpwstr>Official - Public</vt:lpwstr>
  </property>
  <property fmtid="{D5CDD505-2E9C-101B-9397-08002B2CF9AE}" pid="14" name="MSIP_Label_34c27a6e-c833-42bb-83c2-622284533524_SiteId">
    <vt:lpwstr>8bb7e08e-daa4-4a8e-927e-fca38db04b7e</vt:lpwstr>
  </property>
  <property fmtid="{D5CDD505-2E9C-101B-9397-08002B2CF9AE}" pid="15" name="MSIP_Label_34c27a6e-c833-42bb-83c2-622284533524_ActionId">
    <vt:lpwstr>0be122c7-baae-49b5-b335-c9101996c6b8</vt:lpwstr>
  </property>
  <property fmtid="{D5CDD505-2E9C-101B-9397-08002B2CF9AE}" pid="16" name="MSIP_Label_34c27a6e-c833-42bb-83c2-622284533524_ContentBits">
    <vt:lpwstr>0</vt:lpwstr>
  </property>
  <property fmtid="{D5CDD505-2E9C-101B-9397-08002B2CF9AE}" pid="17" name="MSIP_Label_34c27a6e-c833-42bb-83c2-622284533524_Tag">
    <vt:lpwstr>10, 3, 0, 1</vt:lpwstr>
  </property>
</Properties>
</file>