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137F" w14:textId="301CAD38" w:rsidR="00E474C8" w:rsidRDefault="005701FA" w:rsidP="005701FA">
      <w:pPr>
        <w:rPr>
          <w:b/>
          <w:bCs/>
          <w:lang w:val="en-US"/>
        </w:rPr>
      </w:pPr>
      <w:r>
        <w:rPr>
          <w:b/>
          <w:bCs/>
          <w:lang w:val="en-US"/>
        </w:rPr>
        <w:t xml:space="preserve">STFC </w:t>
      </w:r>
      <w:r w:rsidRPr="00CB58F8">
        <w:rPr>
          <w:b/>
          <w:bCs/>
          <w:caps/>
          <w:lang w:val="en-US"/>
        </w:rPr>
        <w:t>Ernest Rutherford Fellowships</w:t>
      </w:r>
      <w:r>
        <w:rPr>
          <w:b/>
          <w:bCs/>
          <w:lang w:val="en-US"/>
        </w:rPr>
        <w:t xml:space="preserve"> (ERF)</w:t>
      </w:r>
    </w:p>
    <w:p w14:paraId="6E4B2CBB" w14:textId="77777777" w:rsidR="00CB58F8" w:rsidRDefault="00CB58F8" w:rsidP="005701FA">
      <w:pPr>
        <w:rPr>
          <w:b/>
          <w:bCs/>
          <w:lang w:val="en-US"/>
        </w:rPr>
      </w:pPr>
    </w:p>
    <w:p w14:paraId="7A5F217A" w14:textId="74FCF7C1" w:rsidR="00CB58F8" w:rsidRDefault="00CB58F8" w:rsidP="005701FA">
      <w:pPr>
        <w:rPr>
          <w:b/>
          <w:bCs/>
          <w:lang w:val="en-US"/>
        </w:rPr>
      </w:pPr>
      <w:r>
        <w:rPr>
          <w:b/>
          <w:bCs/>
          <w:lang w:val="en-US"/>
        </w:rPr>
        <w:t xml:space="preserve">HOST INSTITUTION </w:t>
      </w:r>
      <w:r w:rsidRPr="00CB58F8">
        <w:rPr>
          <w:b/>
          <w:bCs/>
          <w:lang w:val="en-US"/>
        </w:rPr>
        <w:t>ED&amp;I STATEMENT</w:t>
      </w:r>
    </w:p>
    <w:p w14:paraId="020744A9" w14:textId="77777777" w:rsidR="00CB58F8" w:rsidRDefault="00CB58F8" w:rsidP="005701FA">
      <w:pPr>
        <w:rPr>
          <w:b/>
          <w:bCs/>
          <w:lang w:val="en-US"/>
        </w:rPr>
      </w:pPr>
    </w:p>
    <w:p w14:paraId="54089BB4" w14:textId="569572FD" w:rsidR="00CB58F8" w:rsidRPr="008972B5" w:rsidRDefault="00CB58F8" w:rsidP="00CB58F8">
      <w:pPr>
        <w:rPr>
          <w:rFonts w:cs="Arial"/>
        </w:rPr>
      </w:pPr>
      <w:r w:rsidRPr="008972B5">
        <w:rPr>
          <w:rFonts w:cs="Arial"/>
        </w:rPr>
        <w:t xml:space="preserve">The intention of this statement is to better understand the process by which </w:t>
      </w:r>
      <w:r w:rsidR="008E4207">
        <w:rPr>
          <w:rFonts w:cs="Arial"/>
        </w:rPr>
        <w:t>host institutions</w:t>
      </w:r>
      <w:r w:rsidRPr="008972B5">
        <w:rPr>
          <w:rFonts w:cs="Arial"/>
        </w:rPr>
        <w:t xml:space="preserve"> are selecting candidates and to identify examples of best practice.</w:t>
      </w:r>
    </w:p>
    <w:p w14:paraId="694A1B09" w14:textId="77777777" w:rsidR="00CB58F8" w:rsidRPr="008972B5" w:rsidRDefault="00CB58F8" w:rsidP="00CB58F8">
      <w:pPr>
        <w:rPr>
          <w:rFonts w:cs="Arial"/>
        </w:rPr>
      </w:pPr>
    </w:p>
    <w:p w14:paraId="5AFC0F85" w14:textId="03CF80D7" w:rsidR="00CB58F8" w:rsidRPr="008972B5" w:rsidRDefault="00CB58F8" w:rsidP="68DCBE0C">
      <w:pPr>
        <w:pStyle w:val="paragraph"/>
        <w:spacing w:before="0" w:beforeAutospacing="0" w:after="0" w:afterAutospacing="0"/>
        <w:textAlignment w:val="baseline"/>
        <w:rPr>
          <w:rFonts w:ascii="Arial" w:hAnsi="Arial" w:cs="Arial"/>
          <w:sz w:val="18"/>
          <w:szCs w:val="18"/>
        </w:rPr>
      </w:pPr>
      <w:r w:rsidRPr="68DCBE0C">
        <w:rPr>
          <w:rStyle w:val="normaltextrun"/>
          <w:rFonts w:ascii="Arial" w:hAnsi="Arial" w:cs="Arial"/>
        </w:rPr>
        <w:t xml:space="preserve">People are at the core of </w:t>
      </w:r>
      <w:r w:rsidR="005D11E7" w:rsidRPr="68DCBE0C">
        <w:rPr>
          <w:rStyle w:val="normaltextrun"/>
          <w:rFonts w:ascii="Arial" w:hAnsi="Arial" w:cs="Arial"/>
        </w:rPr>
        <w:t>research and innovation and</w:t>
      </w:r>
      <w:r w:rsidRPr="68DCBE0C">
        <w:rPr>
          <w:rStyle w:val="normaltextrun"/>
          <w:rFonts w:ascii="Arial" w:hAnsi="Arial" w:cs="Arial"/>
        </w:rPr>
        <w:t xml:space="preserve"> there is nothing more important than how we attract, develop, and retain talented </w:t>
      </w:r>
      <w:r w:rsidR="005D11E7" w:rsidRPr="68DCBE0C">
        <w:rPr>
          <w:rStyle w:val="normaltextrun"/>
          <w:rFonts w:ascii="Arial" w:hAnsi="Arial" w:cs="Arial"/>
        </w:rPr>
        <w:t>people to</w:t>
      </w:r>
      <w:r w:rsidRPr="68DCBE0C">
        <w:rPr>
          <w:rStyle w:val="normaltextrun"/>
          <w:rFonts w:ascii="Arial" w:hAnsi="Arial" w:cs="Arial"/>
        </w:rPr>
        <w:t xml:space="preserve"> cement our position as a global science superpower. Including and valuing a broader range of people and talent will help us achieve the extraordinary potential of research and innovation.</w:t>
      </w:r>
    </w:p>
    <w:p w14:paraId="12EC46B3" w14:textId="77777777" w:rsidR="00CB58F8" w:rsidRPr="008972B5" w:rsidRDefault="00CB58F8" w:rsidP="00CB58F8">
      <w:pPr>
        <w:rPr>
          <w:rFonts w:cs="Arial"/>
        </w:rPr>
      </w:pPr>
    </w:p>
    <w:p w14:paraId="0D60EB4A" w14:textId="77777777" w:rsidR="00CB58F8" w:rsidRPr="008972B5" w:rsidRDefault="00CB58F8" w:rsidP="00CB58F8">
      <w:pPr>
        <w:rPr>
          <w:rFonts w:cs="Arial"/>
        </w:rPr>
      </w:pPr>
      <w:r w:rsidRPr="20FE5547">
        <w:rPr>
          <w:rFonts w:cs="Arial"/>
        </w:rPr>
        <w:t xml:space="preserve">Please complete the survey to include details about the inclusivity of your host institution ERF candidate selection processes using the link or QR code below. Please also include any recruitment strategies your institution </w:t>
      </w:r>
      <w:bookmarkStart w:id="0" w:name="_Int_D7DBDPAv"/>
      <w:r w:rsidRPr="20FE5547">
        <w:rPr>
          <w:rFonts w:cs="Arial"/>
        </w:rPr>
        <w:t>use</w:t>
      </w:r>
      <w:bookmarkEnd w:id="0"/>
      <w:r w:rsidRPr="20FE5547">
        <w:rPr>
          <w:rFonts w:cs="Arial"/>
        </w:rPr>
        <w:t xml:space="preserve"> and provide us with insight to any innovative processes you use in your selection process.  </w:t>
      </w:r>
    </w:p>
    <w:p w14:paraId="5A2F3A71" w14:textId="77777777" w:rsidR="00CB58F8" w:rsidRDefault="00CB58F8" w:rsidP="00CB58F8">
      <w:pPr>
        <w:rPr>
          <w:rFonts w:cs="Arial"/>
        </w:rPr>
      </w:pPr>
    </w:p>
    <w:p w14:paraId="2AB67A62" w14:textId="77777777" w:rsidR="00DB34BF" w:rsidRPr="00DB34BF" w:rsidRDefault="00DB34BF" w:rsidP="00DB34BF">
      <w:hyperlink r:id="rId12" w:history="1">
        <w:r w:rsidRPr="00DB34BF">
          <w:rPr>
            <w:rStyle w:val="Hyperlink"/>
          </w:rPr>
          <w:t>https://app.onlinesurveys.jisc.ac.uk/s/stfc/stfc-ernest-rutherford-fellowships-ed-i-statement-duplicate</w:t>
        </w:r>
      </w:hyperlink>
    </w:p>
    <w:p w14:paraId="668DD6B7" w14:textId="77777777" w:rsidR="00CB58F8" w:rsidRDefault="00CB58F8" w:rsidP="00CB58F8">
      <w:pPr>
        <w:rPr>
          <w:rFonts w:cs="Arial"/>
        </w:rPr>
      </w:pPr>
    </w:p>
    <w:p w14:paraId="6A7313D4" w14:textId="58BCCD42" w:rsidR="00CB58F8" w:rsidRDefault="00A24F67" w:rsidP="00CB58F8">
      <w:pPr>
        <w:rPr>
          <w:rFonts w:cs="Arial"/>
        </w:rPr>
      </w:pPr>
      <w:r>
        <w:rPr>
          <w:noProof/>
        </w:rPr>
        <w:drawing>
          <wp:inline distT="0" distB="0" distL="0" distR="0" wp14:anchorId="609B5D67" wp14:editId="3910E8B9">
            <wp:extent cx="1981200" cy="2038350"/>
            <wp:effectExtent l="0" t="0" r="0" b="0"/>
            <wp:docPr id="71764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81200" cy="2038350"/>
                    </a:xfrm>
                    <a:prstGeom prst="rect">
                      <a:avLst/>
                    </a:prstGeom>
                    <a:noFill/>
                    <a:ln>
                      <a:noFill/>
                    </a:ln>
                  </pic:spPr>
                </pic:pic>
              </a:graphicData>
            </a:graphic>
          </wp:inline>
        </w:drawing>
      </w:r>
    </w:p>
    <w:p w14:paraId="52711AA0" w14:textId="77777777" w:rsidR="00CB58F8" w:rsidRDefault="00CB58F8" w:rsidP="00CB58F8">
      <w:pPr>
        <w:rPr>
          <w:rFonts w:cs="Arial"/>
        </w:rPr>
      </w:pPr>
    </w:p>
    <w:p w14:paraId="58173B2C" w14:textId="77777777" w:rsidR="00CB58F8" w:rsidRDefault="00CB58F8" w:rsidP="00CB58F8">
      <w:pPr>
        <w:rPr>
          <w:rFonts w:cs="Arial"/>
        </w:rPr>
      </w:pPr>
      <w:r>
        <w:rPr>
          <w:rFonts w:cs="Arial"/>
        </w:rPr>
        <w:t>Submissions should provide sufficient detail for assessment.</w:t>
      </w:r>
    </w:p>
    <w:p w14:paraId="0E45F907" w14:textId="77777777" w:rsidR="00CB58F8" w:rsidRPr="008972B5" w:rsidRDefault="00CB58F8" w:rsidP="00CB58F8">
      <w:pPr>
        <w:rPr>
          <w:rFonts w:cs="Arial"/>
        </w:rPr>
      </w:pPr>
    </w:p>
    <w:p w14:paraId="61FDD1B9" w14:textId="1FD75D2D" w:rsidR="00E25D3E" w:rsidRDefault="00CB58F8" w:rsidP="00CB58F8">
      <w:pPr>
        <w:pStyle w:val="NoSpacing"/>
        <w:rPr>
          <w:rFonts w:ascii="Arial" w:hAnsi="Arial" w:cs="Arial"/>
        </w:rPr>
      </w:pPr>
      <w:r w:rsidRPr="68DCBE0C">
        <w:rPr>
          <w:rFonts w:ascii="Arial" w:hAnsi="Arial" w:cs="Arial"/>
        </w:rPr>
        <w:t>This statement is mandatory</w:t>
      </w:r>
      <w:r w:rsidR="0086246F" w:rsidRPr="68DCBE0C">
        <w:rPr>
          <w:rFonts w:ascii="Arial" w:hAnsi="Arial" w:cs="Arial"/>
        </w:rPr>
        <w:t xml:space="preserve"> and any </w:t>
      </w:r>
      <w:r w:rsidR="004D69A7" w:rsidRPr="68DCBE0C">
        <w:rPr>
          <w:rFonts w:ascii="Arial" w:hAnsi="Arial" w:cs="Arial"/>
        </w:rPr>
        <w:t xml:space="preserve">Ernest Rutherford Fellowship applications that are submitted from a Research Organisation that has </w:t>
      </w:r>
      <w:r w:rsidR="00EC2B90" w:rsidRPr="68DCBE0C">
        <w:rPr>
          <w:rFonts w:ascii="Arial" w:hAnsi="Arial" w:cs="Arial"/>
        </w:rPr>
        <w:t xml:space="preserve">either failed to submit or </w:t>
      </w:r>
      <w:r w:rsidR="004D69A7" w:rsidRPr="68DCBE0C">
        <w:rPr>
          <w:rFonts w:ascii="Arial" w:hAnsi="Arial" w:cs="Arial"/>
        </w:rPr>
        <w:t xml:space="preserve">submitted an </w:t>
      </w:r>
      <w:r w:rsidR="00EC2B90" w:rsidRPr="68DCBE0C">
        <w:rPr>
          <w:rFonts w:ascii="Arial" w:hAnsi="Arial" w:cs="Arial"/>
        </w:rPr>
        <w:t>in</w:t>
      </w:r>
      <w:r w:rsidR="004D69A7" w:rsidRPr="68DCBE0C">
        <w:rPr>
          <w:rFonts w:ascii="Arial" w:hAnsi="Arial" w:cs="Arial"/>
        </w:rPr>
        <w:t xml:space="preserve">adequate </w:t>
      </w:r>
      <w:r w:rsidR="00F80FE4" w:rsidRPr="68DCBE0C">
        <w:rPr>
          <w:rFonts w:ascii="Arial" w:hAnsi="Arial" w:cs="Arial"/>
        </w:rPr>
        <w:t>ED&amp;I statement will not be considered until an adequate statement has been received.</w:t>
      </w:r>
    </w:p>
    <w:p w14:paraId="31952CE0" w14:textId="77777777" w:rsidR="0086246F" w:rsidRDefault="0086246F" w:rsidP="00CB58F8">
      <w:pPr>
        <w:pStyle w:val="NoSpacing"/>
        <w:rPr>
          <w:rFonts w:ascii="Arial" w:hAnsi="Arial" w:cs="Arial"/>
        </w:rPr>
      </w:pPr>
    </w:p>
    <w:p w14:paraId="64333328" w14:textId="47E6F0CD" w:rsidR="0086246F" w:rsidRDefault="0028596B" w:rsidP="00CB58F8">
      <w:pPr>
        <w:pStyle w:val="NoSpacing"/>
        <w:rPr>
          <w:rFonts w:ascii="Arial" w:hAnsi="Arial" w:cs="Arial"/>
        </w:rPr>
      </w:pPr>
      <w:r>
        <w:rPr>
          <w:rFonts w:ascii="Arial" w:hAnsi="Arial" w:cs="Arial"/>
        </w:rPr>
        <w:t>ED&amp;I Statements will be assessed by a</w:t>
      </w:r>
      <w:r w:rsidR="0086246F" w:rsidRPr="008972B5">
        <w:rPr>
          <w:rFonts w:ascii="Arial" w:hAnsi="Arial" w:cs="Arial"/>
        </w:rPr>
        <w:t xml:space="preserve"> sub-panel of the Education, Training and Careers Committee (ETCC) to ensure satisfactory processes are in place</w:t>
      </w:r>
      <w:r>
        <w:rPr>
          <w:rFonts w:ascii="Arial" w:hAnsi="Arial" w:cs="Arial"/>
        </w:rPr>
        <w:t>.</w:t>
      </w:r>
      <w:r w:rsidR="00910DBD">
        <w:rPr>
          <w:rFonts w:ascii="Arial" w:hAnsi="Arial" w:cs="Arial"/>
        </w:rPr>
        <w:t xml:space="preserve"> </w:t>
      </w:r>
      <w:r w:rsidR="00BF5BCD">
        <w:rPr>
          <w:rFonts w:ascii="Arial" w:hAnsi="Arial" w:cs="Arial"/>
        </w:rPr>
        <w:t xml:space="preserve">Details of the assessment criteria to be used can be found at </w:t>
      </w:r>
      <w:hyperlink w:anchor="Annex1" w:history="1">
        <w:r w:rsidR="00BF5BCD" w:rsidRPr="007379F0">
          <w:rPr>
            <w:rStyle w:val="Hyperlink"/>
            <w:rFonts w:ascii="Arial" w:hAnsi="Arial" w:cs="Arial"/>
            <w:b/>
            <w:bCs/>
          </w:rPr>
          <w:t>Annex 1</w:t>
        </w:r>
      </w:hyperlink>
      <w:r w:rsidR="00BF5BCD">
        <w:rPr>
          <w:rFonts w:ascii="Arial" w:hAnsi="Arial" w:cs="Arial"/>
        </w:rPr>
        <w:t xml:space="preserve"> and are intended to promote a fair, transparent, and consistent evaluation of how host organisations support Ernest Rutherford Fellowship applicants.</w:t>
      </w:r>
    </w:p>
    <w:p w14:paraId="3CAC7D1A" w14:textId="77777777" w:rsidR="00BF5BCD" w:rsidRDefault="00BF5BCD" w:rsidP="00CB58F8">
      <w:pPr>
        <w:pStyle w:val="NoSpacing"/>
        <w:rPr>
          <w:rFonts w:ascii="Arial" w:hAnsi="Arial" w:cs="Arial"/>
        </w:rPr>
      </w:pPr>
    </w:p>
    <w:p w14:paraId="1B37A981" w14:textId="3232A965" w:rsidR="00BF5BCD" w:rsidRPr="00BF5BCD" w:rsidRDefault="00DA3E23" w:rsidP="00CB58F8">
      <w:pPr>
        <w:pStyle w:val="NoSpacing"/>
        <w:rPr>
          <w:rFonts w:ascii="Arial" w:hAnsi="Arial" w:cs="Arial"/>
        </w:rPr>
      </w:pPr>
      <w:r w:rsidRPr="68DCBE0C">
        <w:rPr>
          <w:rFonts w:ascii="Arial" w:hAnsi="Arial" w:cs="Arial"/>
        </w:rPr>
        <w:t xml:space="preserve">Statements will be assessed in November 2026 </w:t>
      </w:r>
      <w:r w:rsidR="00A74CDF" w:rsidRPr="68DCBE0C">
        <w:rPr>
          <w:rFonts w:ascii="Arial" w:hAnsi="Arial" w:cs="Arial"/>
        </w:rPr>
        <w:t>with confirmation of outcomes provided no later than December 2026.</w:t>
      </w:r>
      <w:r w:rsidR="005565C4" w:rsidRPr="68DCBE0C">
        <w:rPr>
          <w:rFonts w:ascii="Arial" w:hAnsi="Arial" w:cs="Arial"/>
        </w:rPr>
        <w:t xml:space="preserve">  The outcome of the assessment will have no bearing of how applicants are scored, unless an inadequate score</w:t>
      </w:r>
      <w:r w:rsidR="00D70C5D" w:rsidRPr="68DCBE0C">
        <w:rPr>
          <w:rFonts w:ascii="Arial" w:hAnsi="Arial" w:cs="Arial"/>
        </w:rPr>
        <w:t xml:space="preserve"> for the ED&amp;I statement</w:t>
      </w:r>
      <w:r w:rsidR="005565C4" w:rsidRPr="68DCBE0C">
        <w:rPr>
          <w:rFonts w:ascii="Arial" w:hAnsi="Arial" w:cs="Arial"/>
        </w:rPr>
        <w:t xml:space="preserve"> is given</w:t>
      </w:r>
      <w:r w:rsidR="243E88A1" w:rsidRPr="68DCBE0C">
        <w:rPr>
          <w:rFonts w:ascii="Arial" w:hAnsi="Arial" w:cs="Arial"/>
        </w:rPr>
        <w:t>, as noted above</w:t>
      </w:r>
      <w:r w:rsidR="005565C4" w:rsidRPr="68DCBE0C">
        <w:rPr>
          <w:rFonts w:ascii="Arial" w:hAnsi="Arial" w:cs="Arial"/>
        </w:rPr>
        <w:t>.</w:t>
      </w:r>
    </w:p>
    <w:p w14:paraId="6FB8268D" w14:textId="063F93BB" w:rsidR="22285405" w:rsidRDefault="22285405" w:rsidP="22285405">
      <w:pPr>
        <w:pStyle w:val="NoSpacing"/>
        <w:rPr>
          <w:rFonts w:ascii="Arial" w:hAnsi="Arial" w:cs="Arial"/>
        </w:rPr>
      </w:pPr>
    </w:p>
    <w:p w14:paraId="1061A938" w14:textId="5669F463" w:rsidR="00CB58F8" w:rsidRPr="00CE15C8" w:rsidRDefault="00CB58F8" w:rsidP="22285405">
      <w:pPr>
        <w:rPr>
          <w:rFonts w:cs="Arial"/>
          <w:b/>
          <w:bCs/>
        </w:rPr>
      </w:pPr>
      <w:r w:rsidRPr="68DCBE0C">
        <w:rPr>
          <w:rFonts w:cs="Arial"/>
        </w:rPr>
        <w:t xml:space="preserve">The deadline for submitting responses will be </w:t>
      </w:r>
      <w:r w:rsidR="16E0B99D" w:rsidRPr="68DCBE0C">
        <w:rPr>
          <w:rFonts w:cs="Arial"/>
          <w:b/>
          <w:bCs/>
        </w:rPr>
        <w:t>30 September 2026</w:t>
      </w:r>
      <w:r w:rsidRPr="68DCBE0C">
        <w:rPr>
          <w:rFonts w:cs="Arial"/>
        </w:rPr>
        <w:t xml:space="preserve">.  </w:t>
      </w:r>
    </w:p>
    <w:p w14:paraId="7BBF52A6" w14:textId="77777777" w:rsidR="005701FA" w:rsidRPr="00CB58F8" w:rsidRDefault="005701FA" w:rsidP="005701FA"/>
    <w:p w14:paraId="1B8E1E2E" w14:textId="77777777" w:rsidR="00AC422B" w:rsidRDefault="00AC422B">
      <w:pPr>
        <w:rPr>
          <w:b/>
          <w:bCs/>
          <w:lang w:val="en-US"/>
        </w:rPr>
      </w:pPr>
      <w:r w:rsidRPr="22285405">
        <w:rPr>
          <w:b/>
          <w:bCs/>
          <w:lang w:val="en-US"/>
        </w:rPr>
        <w:br w:type="page"/>
      </w:r>
    </w:p>
    <w:p w14:paraId="5488AB6D" w14:textId="68BE04A2" w:rsidR="00CB58F8" w:rsidRDefault="569C00B0" w:rsidP="00CB58F8">
      <w:pPr>
        <w:rPr>
          <w:b/>
          <w:bCs/>
          <w:lang w:val="en-US"/>
        </w:rPr>
      </w:pPr>
      <w:r w:rsidRPr="3231DECC">
        <w:rPr>
          <w:b/>
          <w:bCs/>
          <w:lang w:val="en-US"/>
        </w:rPr>
        <w:lastRenderedPageBreak/>
        <w:t>Best practice example</w:t>
      </w:r>
      <w:r w:rsidR="00CB58F8" w:rsidRPr="3231DECC">
        <w:rPr>
          <w:b/>
          <w:bCs/>
          <w:lang w:val="en-US"/>
        </w:rPr>
        <w:t xml:space="preserve"> of an inclusive selection practice</w:t>
      </w:r>
    </w:p>
    <w:p w14:paraId="1A2546B9" w14:textId="77777777" w:rsidR="00CB58F8" w:rsidRDefault="00CB58F8" w:rsidP="00CB58F8">
      <w:pPr>
        <w:rPr>
          <w:b/>
          <w:bCs/>
          <w:lang w:val="en-US"/>
        </w:rPr>
      </w:pPr>
    </w:p>
    <w:p w14:paraId="2316DDAF" w14:textId="1B79A38C" w:rsidR="00CB58F8" w:rsidRDefault="00CB58F8" w:rsidP="3231DECC">
      <w:r w:rsidRPr="3231DECC">
        <w:t xml:space="preserve">The two diagrams below </w:t>
      </w:r>
      <w:r w:rsidR="34B96787" w:rsidRPr="3231DECC">
        <w:t>re</w:t>
      </w:r>
      <w:r w:rsidRPr="3231DECC">
        <w:t>present a</w:t>
      </w:r>
      <w:r w:rsidR="559C806A" w:rsidRPr="3231DECC">
        <w:t xml:space="preserve">n example of </w:t>
      </w:r>
      <w:r w:rsidR="33524228" w:rsidRPr="3231DECC">
        <w:t>best practice for</w:t>
      </w:r>
      <w:r w:rsidR="63664FDD" w:rsidRPr="3231DECC">
        <w:t xml:space="preserve"> </w:t>
      </w:r>
      <w:r w:rsidRPr="3231DECC">
        <w:t>recruitment and selection process for ERF applications within a host organisation.  The first shows the overall recruitment and selection process, while the second focuses on the selection part within that.</w:t>
      </w:r>
      <w:r w:rsidR="615DE573" w:rsidRPr="3231DECC">
        <w:t xml:space="preserve"> Please note that STFC are not looking at host organisations carrying out an anonymised practice. </w:t>
      </w:r>
      <w:r w:rsidR="005D11E7" w:rsidRPr="3231DECC">
        <w:rPr>
          <w:rStyle w:val="FootnoteReference"/>
        </w:rPr>
        <w:footnoteReference w:id="1"/>
      </w:r>
      <w:r w:rsidRPr="3231DECC">
        <w:rPr>
          <w:rStyle w:val="FootnoteReference"/>
        </w:rPr>
        <w:footnoteReference w:id="2"/>
      </w:r>
    </w:p>
    <w:p w14:paraId="113FB829" w14:textId="77777777" w:rsidR="00CB58F8" w:rsidRDefault="00CB58F8" w:rsidP="005701FA">
      <w:pPr>
        <w:jc w:val="center"/>
        <w:rPr>
          <w:b/>
          <w:bCs/>
          <w:lang w:val="en-US"/>
        </w:rPr>
      </w:pPr>
    </w:p>
    <w:p w14:paraId="304CB0B3" w14:textId="75AD37B9" w:rsidR="005701FA" w:rsidRDefault="005701FA" w:rsidP="005701FA">
      <w:pPr>
        <w:jc w:val="center"/>
        <w:rPr>
          <w:b/>
          <w:bCs/>
          <w:lang w:val="en-US"/>
        </w:rPr>
      </w:pPr>
      <w:r>
        <w:rPr>
          <w:b/>
          <w:bCs/>
          <w:lang w:val="en-US"/>
        </w:rPr>
        <w:t>Overall process</w:t>
      </w:r>
    </w:p>
    <w:p w14:paraId="61E731EF" w14:textId="77777777" w:rsidR="005701FA" w:rsidRDefault="005701FA" w:rsidP="005701FA">
      <w:pPr>
        <w:jc w:val="center"/>
        <w:rPr>
          <w:b/>
          <w:bCs/>
          <w:lang w:val="en-US"/>
        </w:rPr>
      </w:pPr>
    </w:p>
    <w:p w14:paraId="54E48259" w14:textId="336492AD" w:rsidR="005701FA" w:rsidRDefault="005701FA" w:rsidP="005701FA">
      <w:pPr>
        <w:rPr>
          <w:b/>
          <w:bCs/>
          <w:lang w:val="en-US"/>
        </w:rPr>
      </w:pPr>
      <w:r w:rsidRPr="005701FA">
        <w:rPr>
          <w:b/>
          <w:bCs/>
          <w:noProof/>
          <w:lang w:val="en-US"/>
        </w:rPr>
        <w:drawing>
          <wp:inline distT="0" distB="0" distL="0" distR="0" wp14:anchorId="345BCF0A" wp14:editId="1273A801">
            <wp:extent cx="5731510" cy="5120640"/>
            <wp:effectExtent l="0" t="0" r="2540" b="3810"/>
            <wp:docPr id="2115647848" name="Picture 1"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47848" name="Picture 1" descr="A diagram of a customer support&#10;&#10;AI-generated content may be incorrect."/>
                    <pic:cNvPicPr/>
                  </pic:nvPicPr>
                  <pic:blipFill>
                    <a:blip r:embed="rId15"/>
                    <a:stretch>
                      <a:fillRect/>
                    </a:stretch>
                  </pic:blipFill>
                  <pic:spPr>
                    <a:xfrm>
                      <a:off x="0" y="0"/>
                      <a:ext cx="5731510" cy="5120640"/>
                    </a:xfrm>
                    <a:prstGeom prst="rect">
                      <a:avLst/>
                    </a:prstGeom>
                  </pic:spPr>
                </pic:pic>
              </a:graphicData>
            </a:graphic>
          </wp:inline>
        </w:drawing>
      </w:r>
    </w:p>
    <w:p w14:paraId="0F85BF8A" w14:textId="77777777" w:rsidR="005701FA" w:rsidRDefault="005701FA" w:rsidP="005701FA">
      <w:pPr>
        <w:rPr>
          <w:b/>
          <w:bCs/>
          <w:lang w:val="en-US"/>
        </w:rPr>
      </w:pPr>
    </w:p>
    <w:p w14:paraId="71643EED" w14:textId="77777777" w:rsidR="005701FA" w:rsidRDefault="005701FA">
      <w:pPr>
        <w:rPr>
          <w:b/>
          <w:bCs/>
          <w:lang w:val="en-US"/>
        </w:rPr>
      </w:pPr>
      <w:r>
        <w:rPr>
          <w:b/>
          <w:bCs/>
          <w:lang w:val="en-US"/>
        </w:rPr>
        <w:br w:type="page"/>
      </w:r>
    </w:p>
    <w:p w14:paraId="598DE7E5" w14:textId="07E82F1E" w:rsidR="005701FA" w:rsidRDefault="005701FA" w:rsidP="005701FA">
      <w:pPr>
        <w:jc w:val="center"/>
        <w:rPr>
          <w:b/>
          <w:bCs/>
          <w:lang w:val="en-US"/>
        </w:rPr>
      </w:pPr>
      <w:r>
        <w:rPr>
          <w:b/>
          <w:bCs/>
          <w:lang w:val="en-US"/>
        </w:rPr>
        <w:lastRenderedPageBreak/>
        <w:t>Selection process</w:t>
      </w:r>
    </w:p>
    <w:p w14:paraId="5D14D8AA" w14:textId="77777777" w:rsidR="005701FA" w:rsidRDefault="005701FA" w:rsidP="005701FA">
      <w:pPr>
        <w:jc w:val="center"/>
        <w:rPr>
          <w:b/>
          <w:bCs/>
          <w:lang w:val="en-US"/>
        </w:rPr>
      </w:pPr>
    </w:p>
    <w:p w14:paraId="4DE34874" w14:textId="7889AA24" w:rsidR="005701FA" w:rsidRDefault="005701FA" w:rsidP="005701FA">
      <w:pPr>
        <w:jc w:val="center"/>
        <w:rPr>
          <w:lang w:val="en-US"/>
        </w:rPr>
      </w:pPr>
      <w:r w:rsidRPr="005701FA">
        <w:rPr>
          <w:noProof/>
          <w:lang w:val="en-US"/>
        </w:rPr>
        <w:drawing>
          <wp:inline distT="0" distB="0" distL="0" distR="0" wp14:anchorId="54512F72" wp14:editId="53D0AF76">
            <wp:extent cx="5731510" cy="7378700"/>
            <wp:effectExtent l="0" t="0" r="2540" b="0"/>
            <wp:docPr id="34163059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30595" name="Picture 1" descr="A screenshot of a document&#10;&#10;AI-generated content may be incorrect."/>
                    <pic:cNvPicPr/>
                  </pic:nvPicPr>
                  <pic:blipFill>
                    <a:blip r:embed="rId16"/>
                    <a:stretch>
                      <a:fillRect/>
                    </a:stretch>
                  </pic:blipFill>
                  <pic:spPr>
                    <a:xfrm>
                      <a:off x="0" y="0"/>
                      <a:ext cx="5731510" cy="7378700"/>
                    </a:xfrm>
                    <a:prstGeom prst="rect">
                      <a:avLst/>
                    </a:prstGeom>
                  </pic:spPr>
                </pic:pic>
              </a:graphicData>
            </a:graphic>
          </wp:inline>
        </w:drawing>
      </w:r>
    </w:p>
    <w:p w14:paraId="138655BB" w14:textId="24AC4872" w:rsidR="00CB58F8" w:rsidRDefault="00CB58F8">
      <w:r>
        <w:br w:type="page"/>
      </w:r>
    </w:p>
    <w:p w14:paraId="679DCE4E" w14:textId="4C9C0987" w:rsidR="00CB58F8" w:rsidRDefault="00CB58F8" w:rsidP="2B7469B8">
      <w:pPr>
        <w:rPr>
          <w:rFonts w:eastAsia="Arial" w:cs="Arial"/>
          <w:color w:val="0000FF"/>
          <w:sz w:val="24"/>
          <w:u w:val="single"/>
        </w:rPr>
      </w:pPr>
      <w:r w:rsidRPr="2B7469B8">
        <w:rPr>
          <w:rFonts w:eastAsia="Arial" w:cs="Arial"/>
        </w:rPr>
        <w:lastRenderedPageBreak/>
        <w:t>Please find in the table below a list of the questions in the survey</w:t>
      </w:r>
      <w:r w:rsidR="00C35ECE" w:rsidRPr="2B7469B8">
        <w:rPr>
          <w:rFonts w:eastAsia="Arial" w:cs="Arial"/>
        </w:rPr>
        <w:t xml:space="preserve"> (</w:t>
      </w:r>
      <w:hyperlink r:id="rId17">
        <w:r w:rsidR="63953B84" w:rsidRPr="2B7469B8">
          <w:rPr>
            <w:rFonts w:eastAsia="Arial" w:cs="Arial"/>
            <w:color w:val="0000FF"/>
            <w:szCs w:val="22"/>
            <w:u w:val="single"/>
          </w:rPr>
          <w:t>https://app.onlinesurveys.jisc.ac.uk/s/stfc/stfc-ernest-rutherford-fellowships-ed-i-statement-duplicate</w:t>
        </w:r>
        <w:r w:rsidR="63953B84" w:rsidRPr="00A24F67">
          <w:rPr>
            <w:rFonts w:eastAsia="Arial" w:cs="Arial"/>
            <w:color w:val="0000FF"/>
            <w:szCs w:val="22"/>
            <w:u w:val="single"/>
          </w:rPr>
          <w:t>)</w:t>
        </w:r>
      </w:hyperlink>
      <w:r w:rsidR="63953B84" w:rsidRPr="00A24F67">
        <w:rPr>
          <w:rFonts w:eastAsia="Arial" w:cs="Arial"/>
          <w:color w:val="0000FF"/>
          <w:szCs w:val="22"/>
          <w:u w:val="single"/>
        </w:rPr>
        <w:t xml:space="preserve"> </w:t>
      </w:r>
      <w:r w:rsidR="63953B84" w:rsidRPr="00A24F67">
        <w:rPr>
          <w:rFonts w:eastAsia="Arial" w:cs="Arial"/>
          <w:szCs w:val="22"/>
        </w:rPr>
        <w:t>along with examples of good practice</w:t>
      </w:r>
    </w:p>
    <w:p w14:paraId="61C25FB2" w14:textId="4A863947" w:rsidR="2B7469B8" w:rsidRDefault="2B7469B8" w:rsidP="2B7469B8">
      <w:pPr>
        <w:rPr>
          <w:rFonts w:eastAsia="Arial" w:cs="Arial"/>
          <w:color w:val="0000FF"/>
          <w:szCs w:val="22"/>
          <w:u w:val="single"/>
        </w:rPr>
      </w:pPr>
    </w:p>
    <w:tbl>
      <w:tblPr>
        <w:tblStyle w:val="TableGrid"/>
        <w:tblW w:w="9776" w:type="dxa"/>
        <w:tblLook w:val="04A0" w:firstRow="1" w:lastRow="0" w:firstColumn="1" w:lastColumn="0" w:noHBand="0" w:noVBand="1"/>
      </w:tblPr>
      <w:tblGrid>
        <w:gridCol w:w="2972"/>
        <w:gridCol w:w="6804"/>
      </w:tblGrid>
      <w:tr w:rsidR="00CB58F8" w:rsidRPr="008972B5" w14:paraId="7B9690A8" w14:textId="77777777" w:rsidTr="2B7469B8">
        <w:tc>
          <w:tcPr>
            <w:tcW w:w="2972" w:type="dxa"/>
          </w:tcPr>
          <w:p w14:paraId="3C0D4DA6" w14:textId="77777777" w:rsidR="00CB58F8" w:rsidRPr="008972B5" w:rsidRDefault="00CB58F8">
            <w:pPr>
              <w:rPr>
                <w:rFonts w:ascii="Arial" w:hAnsi="Arial" w:cs="Arial"/>
                <w:b/>
                <w:bCs/>
              </w:rPr>
            </w:pPr>
            <w:r w:rsidRPr="008972B5">
              <w:rPr>
                <w:rFonts w:ascii="Arial" w:hAnsi="Arial" w:cs="Arial"/>
                <w:b/>
                <w:bCs/>
              </w:rPr>
              <w:t>Questions</w:t>
            </w:r>
          </w:p>
        </w:tc>
        <w:tc>
          <w:tcPr>
            <w:tcW w:w="6804" w:type="dxa"/>
          </w:tcPr>
          <w:p w14:paraId="6568ABE0" w14:textId="24E8FE41" w:rsidR="00CB58F8" w:rsidRPr="008972B5" w:rsidRDefault="00CB58F8">
            <w:pPr>
              <w:rPr>
                <w:rFonts w:ascii="Arial" w:hAnsi="Arial" w:cs="Arial"/>
                <w:b/>
                <w:bCs/>
              </w:rPr>
            </w:pPr>
            <w:r w:rsidRPr="008972B5">
              <w:rPr>
                <w:rFonts w:ascii="Arial" w:hAnsi="Arial" w:cs="Arial"/>
                <w:b/>
                <w:bCs/>
              </w:rPr>
              <w:t>Examples of good practice but not limited to</w:t>
            </w:r>
            <w:r w:rsidR="00C35ECE">
              <w:rPr>
                <w:rFonts w:ascii="Arial" w:hAnsi="Arial" w:cs="Arial"/>
                <w:b/>
                <w:bCs/>
              </w:rPr>
              <w:t>:</w:t>
            </w:r>
          </w:p>
        </w:tc>
      </w:tr>
      <w:tr w:rsidR="00CB58F8" w:rsidRPr="008972B5" w14:paraId="7710D81C" w14:textId="77777777" w:rsidTr="2B7469B8">
        <w:tc>
          <w:tcPr>
            <w:tcW w:w="2972" w:type="dxa"/>
            <w:shd w:val="clear" w:color="auto" w:fill="D9F2D0" w:themeFill="accent6" w:themeFillTint="33"/>
          </w:tcPr>
          <w:p w14:paraId="5A386687" w14:textId="77777777" w:rsidR="00CB58F8" w:rsidRPr="00683037" w:rsidRDefault="00CB58F8">
            <w:pPr>
              <w:rPr>
                <w:rFonts w:ascii="Arial" w:eastAsia="Times New Roman" w:hAnsi="Arial" w:cs="Arial"/>
                <w:b/>
                <w:bCs/>
              </w:rPr>
            </w:pPr>
            <w:r>
              <w:rPr>
                <w:rFonts w:ascii="Arial" w:eastAsia="Times New Roman" w:hAnsi="Arial" w:cs="Arial"/>
                <w:b/>
                <w:bCs/>
              </w:rPr>
              <w:t>Attraction</w:t>
            </w:r>
          </w:p>
        </w:tc>
        <w:tc>
          <w:tcPr>
            <w:tcW w:w="6804" w:type="dxa"/>
            <w:shd w:val="clear" w:color="auto" w:fill="D9F2D0" w:themeFill="accent6" w:themeFillTint="33"/>
          </w:tcPr>
          <w:p w14:paraId="40C23FA8" w14:textId="77777777" w:rsidR="00CB58F8" w:rsidRDefault="00CB58F8">
            <w:pPr>
              <w:pStyle w:val="ListParagraph"/>
              <w:ind w:left="360"/>
              <w:rPr>
                <w:rFonts w:ascii="Arial" w:hAnsi="Arial" w:cs="Arial"/>
              </w:rPr>
            </w:pPr>
          </w:p>
        </w:tc>
      </w:tr>
      <w:tr w:rsidR="00CB58F8" w:rsidRPr="008972B5" w14:paraId="4E164B3F" w14:textId="77777777" w:rsidTr="2B7469B8">
        <w:tc>
          <w:tcPr>
            <w:tcW w:w="2972" w:type="dxa"/>
          </w:tcPr>
          <w:p w14:paraId="5C3FA055" w14:textId="77777777" w:rsidR="00CB58F8" w:rsidRPr="008972B5" w:rsidRDefault="00CB58F8">
            <w:pPr>
              <w:rPr>
                <w:rFonts w:ascii="Arial" w:hAnsi="Arial" w:cs="Arial"/>
              </w:rPr>
            </w:pPr>
            <w:r w:rsidRPr="008972B5">
              <w:rPr>
                <w:rFonts w:ascii="Arial" w:eastAsia="Times New Roman" w:hAnsi="Arial" w:cs="Arial"/>
              </w:rPr>
              <w:t xml:space="preserve">How was the ERF opportunity </w:t>
            </w:r>
            <w:r>
              <w:rPr>
                <w:rFonts w:ascii="Arial" w:eastAsia="Times New Roman" w:hAnsi="Arial" w:cs="Arial"/>
              </w:rPr>
              <w:t>advertised/</w:t>
            </w:r>
            <w:r w:rsidRPr="008972B5">
              <w:rPr>
                <w:rFonts w:ascii="Arial" w:eastAsia="Times New Roman" w:hAnsi="Arial" w:cs="Arial"/>
              </w:rPr>
              <w:t>promoted internally, nationally and internationally?  How did you encourage diverse applicants?</w:t>
            </w:r>
          </w:p>
        </w:tc>
        <w:tc>
          <w:tcPr>
            <w:tcW w:w="6804" w:type="dxa"/>
          </w:tcPr>
          <w:p w14:paraId="0FF6C7F4" w14:textId="77777777" w:rsidR="00CB58F8" w:rsidRPr="008972B5" w:rsidRDefault="00CB58F8" w:rsidP="00CB58F8">
            <w:pPr>
              <w:pStyle w:val="ListParagraph"/>
              <w:numPr>
                <w:ilvl w:val="0"/>
                <w:numId w:val="2"/>
              </w:numPr>
              <w:contextualSpacing w:val="0"/>
              <w:rPr>
                <w:rFonts w:ascii="Arial" w:hAnsi="Arial" w:cs="Arial"/>
              </w:rPr>
            </w:pPr>
            <w:r>
              <w:rPr>
                <w:rFonts w:ascii="Arial" w:hAnsi="Arial" w:cs="Arial"/>
              </w:rPr>
              <w:t>Use of a</w:t>
            </w:r>
            <w:r w:rsidRPr="008972B5">
              <w:rPr>
                <w:rFonts w:ascii="Arial" w:hAnsi="Arial" w:cs="Arial"/>
              </w:rPr>
              <w:t xml:space="preserve">cademic </w:t>
            </w:r>
            <w:r>
              <w:rPr>
                <w:rFonts w:ascii="Arial" w:hAnsi="Arial" w:cs="Arial"/>
              </w:rPr>
              <w:t xml:space="preserve">staff </w:t>
            </w:r>
            <w:r w:rsidRPr="008972B5">
              <w:rPr>
                <w:rFonts w:ascii="Arial" w:hAnsi="Arial" w:cs="Arial"/>
              </w:rPr>
              <w:t>networks</w:t>
            </w:r>
            <w:r>
              <w:rPr>
                <w:rFonts w:ascii="Arial" w:hAnsi="Arial" w:cs="Arial"/>
              </w:rPr>
              <w:t xml:space="preserve"> and diversity networks</w:t>
            </w:r>
          </w:p>
          <w:p w14:paraId="0961A4C6" w14:textId="1591D424" w:rsidR="00CB58F8" w:rsidRPr="008972B5" w:rsidRDefault="002E4711" w:rsidP="00CB58F8">
            <w:pPr>
              <w:pStyle w:val="ListParagraph"/>
              <w:numPr>
                <w:ilvl w:val="0"/>
                <w:numId w:val="2"/>
              </w:numPr>
              <w:contextualSpacing w:val="0"/>
              <w:rPr>
                <w:rFonts w:ascii="Arial" w:hAnsi="Arial" w:cs="Arial"/>
              </w:rPr>
            </w:pPr>
            <w:r>
              <w:rPr>
                <w:rFonts w:ascii="Arial" w:hAnsi="Arial" w:cs="Arial"/>
              </w:rPr>
              <w:t>W</w:t>
            </w:r>
            <w:r w:rsidR="00CB58F8" w:rsidRPr="008972B5">
              <w:rPr>
                <w:rFonts w:ascii="Arial" w:hAnsi="Arial" w:cs="Arial"/>
              </w:rPr>
              <w:t>ebsites</w:t>
            </w:r>
          </w:p>
          <w:p w14:paraId="01FAFE33" w14:textId="77777777" w:rsidR="00CB58F8" w:rsidRPr="008972B5" w:rsidRDefault="00CB58F8" w:rsidP="00CB58F8">
            <w:pPr>
              <w:pStyle w:val="ListParagraph"/>
              <w:numPr>
                <w:ilvl w:val="0"/>
                <w:numId w:val="2"/>
              </w:numPr>
              <w:contextualSpacing w:val="0"/>
              <w:rPr>
                <w:rFonts w:ascii="Arial" w:hAnsi="Arial" w:cs="Arial"/>
              </w:rPr>
            </w:pPr>
            <w:r w:rsidRPr="008972B5">
              <w:rPr>
                <w:rFonts w:ascii="Arial" w:hAnsi="Arial" w:cs="Arial"/>
              </w:rPr>
              <w:t>Inspire</w:t>
            </w:r>
          </w:p>
          <w:p w14:paraId="14F69BD5" w14:textId="77777777" w:rsidR="00CB58F8" w:rsidRPr="008972B5" w:rsidRDefault="00CB58F8" w:rsidP="00CB58F8">
            <w:pPr>
              <w:pStyle w:val="ListParagraph"/>
              <w:numPr>
                <w:ilvl w:val="0"/>
                <w:numId w:val="2"/>
              </w:numPr>
              <w:contextualSpacing w:val="0"/>
              <w:rPr>
                <w:rFonts w:ascii="Arial" w:hAnsi="Arial" w:cs="Arial"/>
              </w:rPr>
            </w:pPr>
            <w:r w:rsidRPr="008972B5">
              <w:rPr>
                <w:rFonts w:ascii="Arial" w:hAnsi="Arial" w:cs="Arial"/>
              </w:rPr>
              <w:t>Social media</w:t>
            </w:r>
          </w:p>
          <w:p w14:paraId="53C501C9" w14:textId="77777777" w:rsidR="00CB58F8" w:rsidRDefault="00CB58F8" w:rsidP="00CB58F8">
            <w:pPr>
              <w:pStyle w:val="ListParagraph"/>
              <w:numPr>
                <w:ilvl w:val="0"/>
                <w:numId w:val="2"/>
              </w:numPr>
              <w:contextualSpacing w:val="0"/>
              <w:rPr>
                <w:rFonts w:ascii="Arial" w:hAnsi="Arial" w:cs="Arial"/>
              </w:rPr>
            </w:pPr>
            <w:r>
              <w:rPr>
                <w:rFonts w:ascii="Arial" w:hAnsi="Arial" w:cs="Arial"/>
              </w:rPr>
              <w:t>Offering w</w:t>
            </w:r>
            <w:r w:rsidRPr="008972B5">
              <w:rPr>
                <w:rFonts w:ascii="Arial" w:hAnsi="Arial" w:cs="Arial"/>
              </w:rPr>
              <w:t>orkshops</w:t>
            </w:r>
            <w:r>
              <w:rPr>
                <w:rFonts w:ascii="Arial" w:hAnsi="Arial" w:cs="Arial"/>
              </w:rPr>
              <w:t xml:space="preserve"> to help prospective candidates develop strong Expressions of Interest.</w:t>
            </w:r>
          </w:p>
          <w:p w14:paraId="47E270D5" w14:textId="77777777" w:rsidR="00CB58F8" w:rsidRDefault="00CB58F8" w:rsidP="00CB58F8">
            <w:pPr>
              <w:pStyle w:val="ListParagraph"/>
              <w:numPr>
                <w:ilvl w:val="0"/>
                <w:numId w:val="2"/>
              </w:numPr>
              <w:contextualSpacing w:val="0"/>
              <w:rPr>
                <w:rFonts w:ascii="Arial" w:hAnsi="Arial" w:cs="Arial"/>
              </w:rPr>
            </w:pPr>
            <w:r>
              <w:rPr>
                <w:rFonts w:ascii="Arial" w:hAnsi="Arial" w:cs="Arial"/>
              </w:rPr>
              <w:t>Fellowship and funding opportunity awareness sessions</w:t>
            </w:r>
          </w:p>
          <w:p w14:paraId="660E9C55" w14:textId="77777777" w:rsidR="00CB58F8" w:rsidRDefault="00CB58F8" w:rsidP="00CB58F8">
            <w:pPr>
              <w:pStyle w:val="ListParagraph"/>
              <w:numPr>
                <w:ilvl w:val="0"/>
                <w:numId w:val="2"/>
              </w:numPr>
              <w:contextualSpacing w:val="0"/>
              <w:rPr>
                <w:rFonts w:ascii="Arial" w:hAnsi="Arial" w:cs="Arial"/>
              </w:rPr>
            </w:pPr>
            <w:r>
              <w:rPr>
                <w:rFonts w:ascii="Arial" w:hAnsi="Arial" w:cs="Arial"/>
              </w:rPr>
              <w:t>Use of clear, neutral, and inclusive language that welcomes individuals from underrepresented groups and avoids creating barriers or discouraging participation.</w:t>
            </w:r>
            <w:r w:rsidDel="002570F3">
              <w:rPr>
                <w:rFonts w:ascii="Arial" w:hAnsi="Arial" w:cs="Arial"/>
              </w:rPr>
              <w:t xml:space="preserve"> </w:t>
            </w:r>
          </w:p>
          <w:p w14:paraId="550F7C09" w14:textId="77777777" w:rsidR="002E4711" w:rsidRPr="008972B5" w:rsidRDefault="002E4711" w:rsidP="002E4711">
            <w:pPr>
              <w:pStyle w:val="ListParagraph"/>
              <w:ind w:left="360"/>
              <w:contextualSpacing w:val="0"/>
              <w:rPr>
                <w:rFonts w:ascii="Arial" w:hAnsi="Arial" w:cs="Arial"/>
              </w:rPr>
            </w:pPr>
          </w:p>
        </w:tc>
      </w:tr>
      <w:tr w:rsidR="00CB58F8" w:rsidRPr="008972B5" w14:paraId="284917FF" w14:textId="77777777" w:rsidTr="2B7469B8">
        <w:tc>
          <w:tcPr>
            <w:tcW w:w="2972" w:type="dxa"/>
            <w:shd w:val="clear" w:color="auto" w:fill="D9F2D0" w:themeFill="accent6" w:themeFillTint="33"/>
          </w:tcPr>
          <w:p w14:paraId="485191E5" w14:textId="77777777" w:rsidR="00CB58F8" w:rsidRPr="00683037" w:rsidRDefault="00CB58F8">
            <w:pPr>
              <w:rPr>
                <w:rFonts w:ascii="Arial" w:eastAsia="Times New Roman" w:hAnsi="Arial" w:cs="Arial"/>
                <w:b/>
                <w:bCs/>
              </w:rPr>
            </w:pPr>
            <w:r>
              <w:rPr>
                <w:rFonts w:ascii="Arial" w:eastAsia="Times New Roman" w:hAnsi="Arial" w:cs="Arial"/>
                <w:b/>
                <w:bCs/>
              </w:rPr>
              <w:t xml:space="preserve">Information and enquiry handling </w:t>
            </w:r>
          </w:p>
        </w:tc>
        <w:tc>
          <w:tcPr>
            <w:tcW w:w="6804" w:type="dxa"/>
            <w:shd w:val="clear" w:color="auto" w:fill="D9F2D0" w:themeFill="accent6" w:themeFillTint="33"/>
          </w:tcPr>
          <w:p w14:paraId="7C56C824" w14:textId="77777777" w:rsidR="00CB58F8" w:rsidRDefault="00CB58F8">
            <w:pPr>
              <w:pStyle w:val="ListParagraph"/>
              <w:ind w:left="360"/>
              <w:rPr>
                <w:rFonts w:ascii="Arial" w:hAnsi="Arial" w:cs="Arial"/>
              </w:rPr>
            </w:pPr>
          </w:p>
        </w:tc>
      </w:tr>
      <w:tr w:rsidR="00CB58F8" w:rsidRPr="008972B5" w14:paraId="2FC10CA7" w14:textId="77777777" w:rsidTr="2B7469B8">
        <w:tc>
          <w:tcPr>
            <w:tcW w:w="2972" w:type="dxa"/>
          </w:tcPr>
          <w:p w14:paraId="172A627D" w14:textId="77777777" w:rsidR="00CB58F8" w:rsidRPr="008972B5" w:rsidRDefault="00CB58F8">
            <w:pPr>
              <w:rPr>
                <w:rFonts w:ascii="Arial" w:eastAsia="Times New Roman" w:hAnsi="Arial" w:cs="Arial"/>
              </w:rPr>
            </w:pPr>
            <w:r>
              <w:rPr>
                <w:rFonts w:ascii="Arial" w:eastAsia="Times New Roman" w:hAnsi="Arial" w:cs="Arial"/>
              </w:rPr>
              <w:t>How were enquiries handled, and process information offered?</w:t>
            </w:r>
          </w:p>
        </w:tc>
        <w:tc>
          <w:tcPr>
            <w:tcW w:w="6804" w:type="dxa"/>
          </w:tcPr>
          <w:p w14:paraId="50110883" w14:textId="77777777" w:rsidR="00CB58F8" w:rsidRDefault="00CB58F8" w:rsidP="00CB58F8">
            <w:pPr>
              <w:pStyle w:val="ListParagraph"/>
              <w:numPr>
                <w:ilvl w:val="0"/>
                <w:numId w:val="2"/>
              </w:numPr>
              <w:contextualSpacing w:val="0"/>
              <w:rPr>
                <w:rFonts w:ascii="Arial" w:hAnsi="Arial" w:cs="Arial"/>
              </w:rPr>
            </w:pPr>
            <w:r>
              <w:rPr>
                <w:rFonts w:ascii="Arial" w:hAnsi="Arial" w:cs="Arial"/>
              </w:rPr>
              <w:t>Use of research office to triage and record enquiries to avoid academic gatekeeping.</w:t>
            </w:r>
          </w:p>
          <w:p w14:paraId="11AC585E" w14:textId="77777777" w:rsidR="00CB58F8" w:rsidRDefault="00CB58F8" w:rsidP="00CB58F8">
            <w:pPr>
              <w:pStyle w:val="ListParagraph"/>
              <w:numPr>
                <w:ilvl w:val="0"/>
                <w:numId w:val="2"/>
              </w:numPr>
              <w:contextualSpacing w:val="0"/>
              <w:rPr>
                <w:rFonts w:ascii="Arial" w:hAnsi="Arial" w:cs="Arial"/>
              </w:rPr>
            </w:pPr>
            <w:r>
              <w:rPr>
                <w:rFonts w:ascii="Arial" w:hAnsi="Arial" w:cs="Arial"/>
              </w:rPr>
              <w:t>Information offered through different channels i.e. mentor/buddy options, informal guidance and feedback on a personal basis, information on options for reasonable adjustments.</w:t>
            </w:r>
          </w:p>
          <w:p w14:paraId="38805EC9" w14:textId="77777777" w:rsidR="002E4711" w:rsidRPr="00683037" w:rsidRDefault="002E4711" w:rsidP="002E4711">
            <w:pPr>
              <w:pStyle w:val="ListParagraph"/>
              <w:ind w:left="360"/>
              <w:contextualSpacing w:val="0"/>
              <w:rPr>
                <w:rFonts w:ascii="Arial" w:hAnsi="Arial" w:cs="Arial"/>
              </w:rPr>
            </w:pPr>
          </w:p>
        </w:tc>
      </w:tr>
      <w:tr w:rsidR="00CB58F8" w:rsidRPr="008972B5" w14:paraId="42F294A0" w14:textId="77777777" w:rsidTr="2B7469B8">
        <w:tc>
          <w:tcPr>
            <w:tcW w:w="2972" w:type="dxa"/>
            <w:shd w:val="clear" w:color="auto" w:fill="D9F2D0" w:themeFill="accent6" w:themeFillTint="33"/>
          </w:tcPr>
          <w:p w14:paraId="1C0F2F06" w14:textId="77777777" w:rsidR="00CB58F8" w:rsidRPr="00683037" w:rsidRDefault="00CB58F8">
            <w:pPr>
              <w:rPr>
                <w:rFonts w:ascii="Arial" w:eastAsia="Times New Roman" w:hAnsi="Arial" w:cs="Arial"/>
                <w:b/>
                <w:bCs/>
              </w:rPr>
            </w:pPr>
            <w:r>
              <w:rPr>
                <w:rFonts w:ascii="Arial" w:eastAsia="Times New Roman" w:hAnsi="Arial" w:cs="Arial"/>
                <w:b/>
                <w:bCs/>
              </w:rPr>
              <w:t>Selection process</w:t>
            </w:r>
          </w:p>
        </w:tc>
        <w:tc>
          <w:tcPr>
            <w:tcW w:w="6804" w:type="dxa"/>
            <w:shd w:val="clear" w:color="auto" w:fill="D9F2D0" w:themeFill="accent6" w:themeFillTint="33"/>
          </w:tcPr>
          <w:p w14:paraId="0D8BB02E" w14:textId="77777777" w:rsidR="00CB58F8" w:rsidRDefault="00CB58F8" w:rsidP="00616687">
            <w:pPr>
              <w:pStyle w:val="ListParagraph"/>
              <w:ind w:left="360"/>
              <w:contextualSpacing w:val="0"/>
              <w:rPr>
                <w:rFonts w:ascii="Arial" w:hAnsi="Arial" w:cs="Arial"/>
              </w:rPr>
            </w:pPr>
          </w:p>
        </w:tc>
      </w:tr>
      <w:tr w:rsidR="00CB58F8" w:rsidRPr="008972B5" w14:paraId="5D525E35" w14:textId="77777777" w:rsidTr="2B7469B8">
        <w:tc>
          <w:tcPr>
            <w:tcW w:w="2972" w:type="dxa"/>
          </w:tcPr>
          <w:p w14:paraId="6F3C95A4" w14:textId="77777777" w:rsidR="00CB58F8" w:rsidRPr="00683037" w:rsidRDefault="00CB58F8">
            <w:pPr>
              <w:rPr>
                <w:rFonts w:ascii="Arial" w:eastAsia="Times New Roman" w:hAnsi="Arial" w:cs="Arial"/>
              </w:rPr>
            </w:pPr>
            <w:r w:rsidRPr="68DCBE0C">
              <w:rPr>
                <w:rFonts w:ascii="Arial" w:eastAsia="Times New Roman" w:hAnsi="Arial" w:cs="Arial"/>
              </w:rPr>
              <w:t xml:space="preserve">How </w:t>
            </w:r>
            <w:bookmarkStart w:id="1" w:name="_Int_0iOl9jUb"/>
            <w:r w:rsidRPr="68DCBE0C">
              <w:rPr>
                <w:rFonts w:ascii="Arial" w:eastAsia="Times New Roman" w:hAnsi="Arial" w:cs="Arial"/>
              </w:rPr>
              <w:t>was</w:t>
            </w:r>
            <w:bookmarkEnd w:id="1"/>
            <w:r w:rsidRPr="68DCBE0C">
              <w:rPr>
                <w:rFonts w:ascii="Arial" w:eastAsia="Times New Roman" w:hAnsi="Arial" w:cs="Arial"/>
              </w:rPr>
              <w:t xml:space="preserve"> the initial sift carried out?</w:t>
            </w:r>
          </w:p>
        </w:tc>
        <w:tc>
          <w:tcPr>
            <w:tcW w:w="6804" w:type="dxa"/>
          </w:tcPr>
          <w:p w14:paraId="0245946A" w14:textId="77777777" w:rsidR="00CB58F8" w:rsidRDefault="00CB58F8" w:rsidP="00CB58F8">
            <w:pPr>
              <w:pStyle w:val="ListParagraph"/>
              <w:numPr>
                <w:ilvl w:val="0"/>
                <w:numId w:val="2"/>
              </w:numPr>
              <w:contextualSpacing w:val="0"/>
              <w:rPr>
                <w:rFonts w:ascii="Arial" w:hAnsi="Arial" w:cs="Arial"/>
              </w:rPr>
            </w:pPr>
            <w:r>
              <w:rPr>
                <w:rFonts w:ascii="Arial" w:hAnsi="Arial" w:cs="Arial"/>
              </w:rPr>
              <w:t>Use of research office to carry out eligibility and completeness checks.</w:t>
            </w:r>
          </w:p>
          <w:p w14:paraId="476F5503" w14:textId="7817F592" w:rsidR="00CB58F8" w:rsidRDefault="00CB58F8" w:rsidP="2B7469B8">
            <w:pPr>
              <w:numPr>
                <w:ilvl w:val="0"/>
                <w:numId w:val="2"/>
              </w:numPr>
              <w:rPr>
                <w:rFonts w:ascii="Arial" w:hAnsi="Arial" w:cs="Arial"/>
              </w:rPr>
            </w:pPr>
            <w:r w:rsidRPr="2B7469B8">
              <w:rPr>
                <w:rFonts w:ascii="Arial" w:hAnsi="Arial" w:cs="Arial"/>
              </w:rPr>
              <w:t>Use of a centralised approach in larger host organisations to ensure coherence and consistency across diverse disciplines.</w:t>
            </w:r>
          </w:p>
          <w:p w14:paraId="151D2CCF" w14:textId="77777777" w:rsidR="00CB58F8" w:rsidRDefault="00CB58F8" w:rsidP="00CB58F8">
            <w:pPr>
              <w:pStyle w:val="ListParagraph"/>
              <w:numPr>
                <w:ilvl w:val="0"/>
                <w:numId w:val="2"/>
              </w:numPr>
              <w:contextualSpacing w:val="0"/>
              <w:rPr>
                <w:rFonts w:ascii="Arial" w:hAnsi="Arial" w:cs="Arial"/>
              </w:rPr>
            </w:pPr>
            <w:r>
              <w:rPr>
                <w:rFonts w:ascii="Arial" w:hAnsi="Arial" w:cs="Arial"/>
              </w:rPr>
              <w:t>Recording EDI profile of all applicants before and after initial sift.</w:t>
            </w:r>
          </w:p>
          <w:p w14:paraId="1B4CB713" w14:textId="77777777" w:rsidR="00CB58F8" w:rsidRDefault="00CB58F8" w:rsidP="00CB58F8">
            <w:pPr>
              <w:pStyle w:val="ListParagraph"/>
              <w:numPr>
                <w:ilvl w:val="0"/>
                <w:numId w:val="2"/>
              </w:numPr>
              <w:contextualSpacing w:val="0"/>
              <w:rPr>
                <w:rFonts w:ascii="Arial" w:hAnsi="Arial" w:cs="Arial"/>
              </w:rPr>
            </w:pPr>
            <w:r>
              <w:rPr>
                <w:rFonts w:ascii="Arial" w:hAnsi="Arial" w:cs="Arial"/>
              </w:rPr>
              <w:t>Establishing any needs for reasonable adjustments acknowledging personal circumstances of applicants.</w:t>
            </w:r>
          </w:p>
          <w:p w14:paraId="34B6B503" w14:textId="77777777" w:rsidR="00CB58F8" w:rsidRDefault="00CB58F8" w:rsidP="00CB58F8">
            <w:pPr>
              <w:pStyle w:val="ListParagraph"/>
              <w:numPr>
                <w:ilvl w:val="0"/>
                <w:numId w:val="2"/>
              </w:numPr>
              <w:contextualSpacing w:val="0"/>
              <w:rPr>
                <w:rFonts w:ascii="Arial" w:hAnsi="Arial" w:cs="Arial"/>
              </w:rPr>
            </w:pPr>
            <w:r>
              <w:rPr>
                <w:rFonts w:ascii="Arial" w:hAnsi="Arial" w:cs="Arial"/>
              </w:rPr>
              <w:t>Providing feedback to any ineligible applicants.</w:t>
            </w:r>
          </w:p>
          <w:p w14:paraId="69181E61" w14:textId="77777777" w:rsidR="002E4711" w:rsidRDefault="002E4711" w:rsidP="002E4711">
            <w:pPr>
              <w:pStyle w:val="ListParagraph"/>
              <w:ind w:left="360"/>
              <w:contextualSpacing w:val="0"/>
              <w:rPr>
                <w:rFonts w:ascii="Arial" w:hAnsi="Arial" w:cs="Arial"/>
              </w:rPr>
            </w:pPr>
          </w:p>
        </w:tc>
      </w:tr>
      <w:tr w:rsidR="00CB58F8" w:rsidRPr="008972B5" w14:paraId="36BCBCFE" w14:textId="77777777" w:rsidTr="2B7469B8">
        <w:tc>
          <w:tcPr>
            <w:tcW w:w="2972" w:type="dxa"/>
          </w:tcPr>
          <w:p w14:paraId="3BF4F178" w14:textId="77777777" w:rsidR="00CB58F8" w:rsidRDefault="00CB58F8">
            <w:pPr>
              <w:rPr>
                <w:rFonts w:ascii="Arial" w:eastAsia="Times New Roman" w:hAnsi="Arial" w:cs="Arial"/>
              </w:rPr>
            </w:pPr>
            <w:r w:rsidRPr="008972B5">
              <w:rPr>
                <w:rFonts w:ascii="Arial" w:eastAsia="Times New Roman" w:hAnsi="Arial" w:cs="Arial"/>
              </w:rPr>
              <w:t>Please provide examples of how applicants were supported through the internal selection process?</w:t>
            </w:r>
          </w:p>
        </w:tc>
        <w:tc>
          <w:tcPr>
            <w:tcW w:w="6804" w:type="dxa"/>
          </w:tcPr>
          <w:p w14:paraId="3EE056BF" w14:textId="77777777" w:rsidR="00CB58F8" w:rsidRPr="00856A9F" w:rsidRDefault="00CB58F8" w:rsidP="00CB58F8">
            <w:pPr>
              <w:pStyle w:val="ListParagraph"/>
              <w:numPr>
                <w:ilvl w:val="0"/>
                <w:numId w:val="3"/>
              </w:numPr>
              <w:contextualSpacing w:val="0"/>
              <w:rPr>
                <w:rFonts w:ascii="Arial" w:hAnsi="Arial" w:cs="Arial"/>
              </w:rPr>
            </w:pPr>
            <w:r w:rsidRPr="00856A9F">
              <w:rPr>
                <w:rFonts w:ascii="Arial" w:hAnsi="Arial" w:cs="Arial"/>
              </w:rPr>
              <w:t xml:space="preserve">Assign research staff mentor </w:t>
            </w:r>
            <w:r>
              <w:rPr>
                <w:rFonts w:ascii="Arial" w:hAnsi="Arial" w:cs="Arial"/>
              </w:rPr>
              <w:t>with m</w:t>
            </w:r>
            <w:r w:rsidRPr="00856A9F">
              <w:rPr>
                <w:rFonts w:ascii="Arial" w:hAnsi="Arial" w:cs="Arial"/>
              </w:rPr>
              <w:t>entor matched to expertise</w:t>
            </w:r>
            <w:r>
              <w:rPr>
                <w:rFonts w:ascii="Arial" w:hAnsi="Arial" w:cs="Arial"/>
              </w:rPr>
              <w:t>.</w:t>
            </w:r>
          </w:p>
          <w:p w14:paraId="3F6CA22C" w14:textId="77777777" w:rsidR="00CB58F8" w:rsidRPr="008972B5" w:rsidRDefault="00CB58F8" w:rsidP="00CB58F8">
            <w:pPr>
              <w:pStyle w:val="ListParagraph"/>
              <w:numPr>
                <w:ilvl w:val="0"/>
                <w:numId w:val="3"/>
              </w:numPr>
              <w:contextualSpacing w:val="0"/>
              <w:rPr>
                <w:rFonts w:ascii="Arial" w:hAnsi="Arial" w:cs="Arial"/>
              </w:rPr>
            </w:pPr>
            <w:r w:rsidRPr="008972B5">
              <w:rPr>
                <w:rFonts w:ascii="Arial" w:hAnsi="Arial" w:cs="Arial"/>
              </w:rPr>
              <w:t>Assignment of administrative/costing support</w:t>
            </w:r>
            <w:r>
              <w:rPr>
                <w:rFonts w:ascii="Arial" w:hAnsi="Arial" w:cs="Arial"/>
              </w:rPr>
              <w:t>.</w:t>
            </w:r>
          </w:p>
          <w:p w14:paraId="45964215" w14:textId="77777777" w:rsidR="00CB58F8" w:rsidRPr="008972B5" w:rsidRDefault="00CB58F8" w:rsidP="00CB58F8">
            <w:pPr>
              <w:pStyle w:val="ListParagraph"/>
              <w:numPr>
                <w:ilvl w:val="0"/>
                <w:numId w:val="3"/>
              </w:numPr>
              <w:contextualSpacing w:val="0"/>
              <w:rPr>
                <w:rFonts w:ascii="Arial" w:hAnsi="Arial" w:cs="Arial"/>
              </w:rPr>
            </w:pPr>
            <w:r w:rsidRPr="008972B5">
              <w:rPr>
                <w:rFonts w:ascii="Arial" w:hAnsi="Arial" w:cs="Arial"/>
              </w:rPr>
              <w:t xml:space="preserve">One to one feedback offered to </w:t>
            </w:r>
            <w:r>
              <w:rPr>
                <w:rFonts w:ascii="Arial" w:hAnsi="Arial" w:cs="Arial"/>
              </w:rPr>
              <w:t>every</w:t>
            </w:r>
            <w:r w:rsidRPr="008972B5">
              <w:rPr>
                <w:rFonts w:ascii="Arial" w:hAnsi="Arial" w:cs="Arial"/>
              </w:rPr>
              <w:t xml:space="preserve"> candidate</w:t>
            </w:r>
            <w:r>
              <w:rPr>
                <w:rFonts w:ascii="Arial" w:hAnsi="Arial" w:cs="Arial"/>
              </w:rPr>
              <w:t>.</w:t>
            </w:r>
          </w:p>
          <w:p w14:paraId="30720023" w14:textId="77777777" w:rsidR="00CB58F8" w:rsidRPr="008972B5" w:rsidRDefault="00CB58F8" w:rsidP="00CB58F8">
            <w:pPr>
              <w:pStyle w:val="ListParagraph"/>
              <w:numPr>
                <w:ilvl w:val="0"/>
                <w:numId w:val="3"/>
              </w:numPr>
              <w:contextualSpacing w:val="0"/>
              <w:rPr>
                <w:rFonts w:ascii="Arial" w:hAnsi="Arial" w:cs="Arial"/>
              </w:rPr>
            </w:pPr>
            <w:r w:rsidRPr="008972B5">
              <w:rPr>
                <w:rFonts w:ascii="Arial" w:hAnsi="Arial" w:cs="Arial"/>
              </w:rPr>
              <w:t>Applicants encouraged to make links within the group</w:t>
            </w:r>
            <w:r>
              <w:rPr>
                <w:rFonts w:ascii="Arial" w:hAnsi="Arial" w:cs="Arial"/>
              </w:rPr>
              <w:t>.</w:t>
            </w:r>
          </w:p>
          <w:p w14:paraId="207C16C2" w14:textId="77777777" w:rsidR="00CB58F8" w:rsidRDefault="00CB58F8" w:rsidP="00CB58F8">
            <w:pPr>
              <w:pStyle w:val="ListParagraph"/>
              <w:numPr>
                <w:ilvl w:val="0"/>
                <w:numId w:val="3"/>
              </w:numPr>
              <w:contextualSpacing w:val="0"/>
              <w:rPr>
                <w:rFonts w:ascii="Arial" w:hAnsi="Arial" w:cs="Arial"/>
              </w:rPr>
            </w:pPr>
            <w:r w:rsidRPr="008972B5">
              <w:rPr>
                <w:rFonts w:ascii="Arial" w:hAnsi="Arial" w:cs="Arial"/>
              </w:rPr>
              <w:t>Grant writing support</w:t>
            </w:r>
            <w:r>
              <w:rPr>
                <w:rFonts w:ascii="Arial" w:hAnsi="Arial" w:cs="Arial"/>
              </w:rPr>
              <w:t>/workshops.</w:t>
            </w:r>
          </w:p>
          <w:p w14:paraId="5381D45C" w14:textId="77777777" w:rsidR="00CB58F8" w:rsidRDefault="00CB58F8">
            <w:pPr>
              <w:pStyle w:val="ListParagraph"/>
              <w:ind w:left="360"/>
              <w:rPr>
                <w:rFonts w:ascii="Arial" w:hAnsi="Arial" w:cs="Arial"/>
              </w:rPr>
            </w:pPr>
          </w:p>
        </w:tc>
      </w:tr>
      <w:tr w:rsidR="00CB58F8" w:rsidRPr="008972B5" w14:paraId="199DC185" w14:textId="77777777" w:rsidTr="2B7469B8">
        <w:tc>
          <w:tcPr>
            <w:tcW w:w="2972" w:type="dxa"/>
          </w:tcPr>
          <w:p w14:paraId="01AB2183" w14:textId="77777777" w:rsidR="00CB58F8" w:rsidRPr="008972B5" w:rsidRDefault="00CB58F8">
            <w:pPr>
              <w:rPr>
                <w:rFonts w:ascii="Arial" w:eastAsia="Times New Roman" w:hAnsi="Arial" w:cs="Arial"/>
              </w:rPr>
            </w:pPr>
            <w:r w:rsidRPr="008972B5">
              <w:rPr>
                <w:rFonts w:ascii="Arial" w:eastAsia="Times New Roman" w:hAnsi="Arial" w:cs="Arial"/>
              </w:rPr>
              <w:t>What support or consideration of flexible working including part-time working, career breaks and caring responsibilities will you give, and will you accommodate inclusion of candidates with different career paths?</w:t>
            </w:r>
          </w:p>
        </w:tc>
        <w:tc>
          <w:tcPr>
            <w:tcW w:w="6804" w:type="dxa"/>
          </w:tcPr>
          <w:p w14:paraId="1D314BC6"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Consideration given to range of technologies to stay connected</w:t>
            </w:r>
          </w:p>
          <w:p w14:paraId="0734B2B8"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Have guidance to adjust criteria to assess career breaks / caring responsibilities.  Assessed separately and adjustment agreed by two independent members of panel.</w:t>
            </w:r>
          </w:p>
          <w:p w14:paraId="0BB8E16A"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Advice given to candidates on flexible working arrangements</w:t>
            </w:r>
          </w:p>
          <w:p w14:paraId="4EAC4532"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Support provided through maternity/adoption/shared parental leave</w:t>
            </w:r>
          </w:p>
          <w:p w14:paraId="41E77704"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Keeping in touch days during leave</w:t>
            </w:r>
          </w:p>
          <w:p w14:paraId="67CDA4D9" w14:textId="77777777" w:rsidR="00CB58F8" w:rsidRPr="008972B5" w:rsidRDefault="00CB58F8" w:rsidP="00CB58F8">
            <w:pPr>
              <w:pStyle w:val="ListParagraph"/>
              <w:numPr>
                <w:ilvl w:val="0"/>
                <w:numId w:val="4"/>
              </w:numPr>
              <w:contextualSpacing w:val="0"/>
              <w:rPr>
                <w:rFonts w:ascii="Arial" w:hAnsi="Arial" w:cs="Arial"/>
              </w:rPr>
            </w:pPr>
            <w:r w:rsidRPr="008972B5">
              <w:rPr>
                <w:rFonts w:ascii="Arial" w:hAnsi="Arial" w:cs="Arial"/>
              </w:rPr>
              <w:t>ED&amp;I newsletter featuring part time staff</w:t>
            </w:r>
          </w:p>
          <w:p w14:paraId="573A1536" w14:textId="77777777" w:rsidR="00CB58F8" w:rsidRDefault="00CB58F8" w:rsidP="00CB58F8">
            <w:pPr>
              <w:pStyle w:val="ListParagraph"/>
              <w:numPr>
                <w:ilvl w:val="0"/>
                <w:numId w:val="3"/>
              </w:numPr>
              <w:contextualSpacing w:val="0"/>
              <w:rPr>
                <w:rFonts w:ascii="Arial" w:hAnsi="Arial" w:cs="Arial"/>
              </w:rPr>
            </w:pPr>
            <w:r w:rsidRPr="008972B5">
              <w:rPr>
                <w:rFonts w:ascii="Arial" w:hAnsi="Arial" w:cs="Arial"/>
              </w:rPr>
              <w:t>Childcare support</w:t>
            </w:r>
          </w:p>
          <w:p w14:paraId="6A4CA689" w14:textId="77777777" w:rsidR="00CB58F8" w:rsidRPr="00856A9F" w:rsidRDefault="00CB58F8">
            <w:pPr>
              <w:pStyle w:val="ListParagraph"/>
              <w:ind w:left="360"/>
              <w:rPr>
                <w:rFonts w:ascii="Arial" w:hAnsi="Arial" w:cs="Arial"/>
              </w:rPr>
            </w:pPr>
          </w:p>
        </w:tc>
      </w:tr>
      <w:tr w:rsidR="00CB58F8" w:rsidRPr="008972B5" w14:paraId="79E24E87" w14:textId="77777777" w:rsidTr="2B7469B8">
        <w:tc>
          <w:tcPr>
            <w:tcW w:w="2972" w:type="dxa"/>
          </w:tcPr>
          <w:p w14:paraId="70CE8F10" w14:textId="77777777" w:rsidR="00CB58F8" w:rsidRDefault="00CB58F8">
            <w:pPr>
              <w:rPr>
                <w:rFonts w:ascii="Arial" w:eastAsia="Times New Roman" w:hAnsi="Arial" w:cs="Arial"/>
              </w:rPr>
            </w:pPr>
            <w:r>
              <w:rPr>
                <w:rFonts w:ascii="Arial" w:eastAsia="Times New Roman" w:hAnsi="Arial" w:cs="Arial"/>
              </w:rPr>
              <w:lastRenderedPageBreak/>
              <w:t>How are applications reviewed?</w:t>
            </w:r>
          </w:p>
        </w:tc>
        <w:tc>
          <w:tcPr>
            <w:tcW w:w="6804" w:type="dxa"/>
          </w:tcPr>
          <w:p w14:paraId="7AB329D2" w14:textId="6C3C1690" w:rsidR="00CB58F8" w:rsidRDefault="00CB58F8" w:rsidP="22285405">
            <w:pPr>
              <w:numPr>
                <w:ilvl w:val="0"/>
                <w:numId w:val="2"/>
              </w:numPr>
              <w:rPr>
                <w:rFonts w:ascii="Arial" w:hAnsi="Arial" w:cs="Arial"/>
              </w:rPr>
            </w:pPr>
            <w:r w:rsidRPr="22285405">
              <w:rPr>
                <w:rFonts w:ascii="Arial" w:hAnsi="Arial" w:cs="Arial"/>
              </w:rPr>
              <w:t>Applications are assessed by panel/s with appropriate academic expertise.</w:t>
            </w:r>
          </w:p>
          <w:p w14:paraId="46585F37" w14:textId="77777777" w:rsidR="00CB58F8" w:rsidRDefault="00CB58F8" w:rsidP="00CB58F8">
            <w:pPr>
              <w:pStyle w:val="ListParagraph"/>
              <w:numPr>
                <w:ilvl w:val="0"/>
                <w:numId w:val="2"/>
              </w:numPr>
              <w:contextualSpacing w:val="0"/>
              <w:rPr>
                <w:rFonts w:ascii="Arial" w:hAnsi="Arial" w:cs="Arial"/>
              </w:rPr>
            </w:pPr>
            <w:r>
              <w:rPr>
                <w:rFonts w:ascii="Arial" w:hAnsi="Arial" w:cs="Arial"/>
              </w:rPr>
              <w:t>All panel members are trained in unconscious bias and inclusive selection processes.</w:t>
            </w:r>
          </w:p>
          <w:p w14:paraId="4749999F" w14:textId="77777777" w:rsidR="00CB58F8" w:rsidRDefault="00CB58F8" w:rsidP="00CB58F8">
            <w:pPr>
              <w:pStyle w:val="ListParagraph"/>
              <w:numPr>
                <w:ilvl w:val="0"/>
                <w:numId w:val="2"/>
              </w:numPr>
              <w:contextualSpacing w:val="0"/>
              <w:rPr>
                <w:rFonts w:ascii="Arial" w:hAnsi="Arial" w:cs="Arial"/>
              </w:rPr>
            </w:pPr>
            <w:r>
              <w:rPr>
                <w:rFonts w:ascii="Arial" w:hAnsi="Arial" w:cs="Arial"/>
              </w:rPr>
              <w:t>Diversity amongst panel members with panel composition recorded.</w:t>
            </w:r>
          </w:p>
          <w:p w14:paraId="6D973E07" w14:textId="77777777" w:rsidR="00CB58F8" w:rsidRDefault="00CB58F8" w:rsidP="00CB58F8">
            <w:pPr>
              <w:pStyle w:val="ListParagraph"/>
              <w:numPr>
                <w:ilvl w:val="0"/>
                <w:numId w:val="2"/>
              </w:numPr>
              <w:contextualSpacing w:val="0"/>
              <w:rPr>
                <w:rFonts w:ascii="Arial" w:hAnsi="Arial" w:cs="Arial"/>
              </w:rPr>
            </w:pPr>
            <w:r>
              <w:rPr>
                <w:rFonts w:ascii="Arial" w:hAnsi="Arial" w:cs="Arial"/>
              </w:rPr>
              <w:t>The panel uses a standardised process including an agreed assessment of applicants against the ERF Assessment Criteria.</w:t>
            </w:r>
          </w:p>
          <w:p w14:paraId="5E338781" w14:textId="77777777" w:rsidR="00CB58F8" w:rsidRDefault="00CB58F8">
            <w:pPr>
              <w:pStyle w:val="ListParagraph"/>
              <w:ind w:left="360"/>
              <w:rPr>
                <w:rFonts w:ascii="Arial" w:hAnsi="Arial" w:cs="Arial"/>
              </w:rPr>
            </w:pPr>
          </w:p>
        </w:tc>
      </w:tr>
      <w:tr w:rsidR="00CB58F8" w:rsidRPr="008972B5" w14:paraId="08E81490" w14:textId="77777777" w:rsidTr="2B7469B8">
        <w:tc>
          <w:tcPr>
            <w:tcW w:w="2972" w:type="dxa"/>
            <w:shd w:val="clear" w:color="auto" w:fill="D9F2D0" w:themeFill="accent6" w:themeFillTint="33"/>
          </w:tcPr>
          <w:p w14:paraId="79EB9C1B" w14:textId="77777777" w:rsidR="00CB58F8" w:rsidRPr="00683037" w:rsidRDefault="00CB58F8">
            <w:pPr>
              <w:rPr>
                <w:rFonts w:ascii="Arial" w:eastAsia="Times New Roman" w:hAnsi="Arial" w:cs="Arial"/>
                <w:b/>
                <w:bCs/>
              </w:rPr>
            </w:pPr>
            <w:r>
              <w:rPr>
                <w:rFonts w:ascii="Arial" w:eastAsia="Times New Roman" w:hAnsi="Arial" w:cs="Arial"/>
                <w:b/>
                <w:bCs/>
              </w:rPr>
              <w:t>Interview Panel</w:t>
            </w:r>
          </w:p>
        </w:tc>
        <w:tc>
          <w:tcPr>
            <w:tcW w:w="6804" w:type="dxa"/>
            <w:shd w:val="clear" w:color="auto" w:fill="D9F2D0" w:themeFill="accent6" w:themeFillTint="33"/>
          </w:tcPr>
          <w:p w14:paraId="5ED0BCCE" w14:textId="77777777" w:rsidR="00CB58F8" w:rsidRDefault="00CB58F8">
            <w:pPr>
              <w:pStyle w:val="ListParagraph"/>
              <w:ind w:left="360"/>
              <w:rPr>
                <w:rFonts w:ascii="Arial" w:hAnsi="Arial" w:cs="Arial"/>
              </w:rPr>
            </w:pPr>
          </w:p>
        </w:tc>
      </w:tr>
      <w:tr w:rsidR="00CB58F8" w:rsidRPr="008972B5" w14:paraId="70E16500" w14:textId="77777777" w:rsidTr="2B7469B8">
        <w:tc>
          <w:tcPr>
            <w:tcW w:w="2972" w:type="dxa"/>
          </w:tcPr>
          <w:p w14:paraId="4A69971A" w14:textId="77777777" w:rsidR="00CB58F8" w:rsidRPr="00683037" w:rsidRDefault="00CB58F8">
            <w:pPr>
              <w:rPr>
                <w:rFonts w:ascii="Arial" w:eastAsia="Times New Roman" w:hAnsi="Arial" w:cs="Arial"/>
              </w:rPr>
            </w:pPr>
            <w:r>
              <w:rPr>
                <w:rFonts w:ascii="Arial" w:eastAsia="Times New Roman" w:hAnsi="Arial" w:cs="Arial"/>
              </w:rPr>
              <w:t>How have you ensured that interview panels are diverse and follow a standardised process?</w:t>
            </w:r>
          </w:p>
        </w:tc>
        <w:tc>
          <w:tcPr>
            <w:tcW w:w="6804" w:type="dxa"/>
          </w:tcPr>
          <w:p w14:paraId="4FD6A287" w14:textId="77777777" w:rsidR="00CB58F8" w:rsidRDefault="00CB58F8" w:rsidP="00CB58F8">
            <w:pPr>
              <w:pStyle w:val="ListParagraph"/>
              <w:numPr>
                <w:ilvl w:val="0"/>
                <w:numId w:val="2"/>
              </w:numPr>
              <w:contextualSpacing w:val="0"/>
              <w:rPr>
                <w:rFonts w:ascii="Arial" w:hAnsi="Arial" w:cs="Arial"/>
              </w:rPr>
            </w:pPr>
            <w:r>
              <w:rPr>
                <w:rFonts w:ascii="Arial" w:hAnsi="Arial" w:cs="Arial"/>
              </w:rPr>
              <w:t>Short-listed applicants are interviewed by panels with the appropriate expertise.</w:t>
            </w:r>
          </w:p>
          <w:p w14:paraId="7825E5F6" w14:textId="77777777" w:rsidR="00CB58F8" w:rsidRDefault="00CB58F8" w:rsidP="00CB58F8">
            <w:pPr>
              <w:pStyle w:val="ListParagraph"/>
              <w:numPr>
                <w:ilvl w:val="0"/>
                <w:numId w:val="2"/>
              </w:numPr>
              <w:contextualSpacing w:val="0"/>
              <w:rPr>
                <w:rFonts w:ascii="Arial" w:hAnsi="Arial" w:cs="Arial"/>
              </w:rPr>
            </w:pPr>
            <w:r>
              <w:rPr>
                <w:rFonts w:ascii="Arial" w:hAnsi="Arial" w:cs="Arial"/>
              </w:rPr>
              <w:t>All panel members are trained in inclusive selection techniques.</w:t>
            </w:r>
          </w:p>
          <w:p w14:paraId="60F41529" w14:textId="77777777" w:rsidR="00CB58F8" w:rsidRDefault="00CB58F8" w:rsidP="00CB58F8">
            <w:pPr>
              <w:pStyle w:val="ListParagraph"/>
              <w:numPr>
                <w:ilvl w:val="0"/>
                <w:numId w:val="2"/>
              </w:numPr>
              <w:contextualSpacing w:val="0"/>
              <w:rPr>
                <w:rFonts w:ascii="Arial" w:hAnsi="Arial" w:cs="Arial"/>
              </w:rPr>
            </w:pPr>
            <w:r>
              <w:rPr>
                <w:rFonts w:ascii="Arial" w:hAnsi="Arial" w:cs="Arial"/>
              </w:rPr>
              <w:t>All protected characteristics are considered in panel member selection with panel composition recorded.</w:t>
            </w:r>
          </w:p>
          <w:p w14:paraId="0EDCBD69" w14:textId="77777777" w:rsidR="00CB58F8" w:rsidRDefault="00CB58F8" w:rsidP="00CB58F8">
            <w:pPr>
              <w:pStyle w:val="ListParagraph"/>
              <w:numPr>
                <w:ilvl w:val="0"/>
                <w:numId w:val="2"/>
              </w:numPr>
              <w:contextualSpacing w:val="0"/>
              <w:rPr>
                <w:rFonts w:ascii="Arial" w:hAnsi="Arial" w:cs="Arial"/>
              </w:rPr>
            </w:pPr>
            <w:r>
              <w:rPr>
                <w:rFonts w:ascii="Arial" w:hAnsi="Arial" w:cs="Arial"/>
              </w:rPr>
              <w:t>Diversity in panel members through not using the same members as the review stage.</w:t>
            </w:r>
          </w:p>
          <w:p w14:paraId="455B0DC1" w14:textId="77777777" w:rsidR="00CB58F8" w:rsidRDefault="00CB58F8" w:rsidP="00CB58F8">
            <w:pPr>
              <w:pStyle w:val="ListParagraph"/>
              <w:numPr>
                <w:ilvl w:val="0"/>
                <w:numId w:val="2"/>
              </w:numPr>
              <w:contextualSpacing w:val="0"/>
              <w:rPr>
                <w:rFonts w:ascii="Arial" w:hAnsi="Arial" w:cs="Arial"/>
              </w:rPr>
            </w:pPr>
            <w:r>
              <w:rPr>
                <w:rFonts w:ascii="Arial" w:hAnsi="Arial" w:cs="Arial"/>
              </w:rPr>
              <w:t>Having a range of career stages represented in the panel.</w:t>
            </w:r>
          </w:p>
          <w:p w14:paraId="512B902F" w14:textId="77777777" w:rsidR="00CB58F8" w:rsidRDefault="00CB58F8" w:rsidP="00CB58F8">
            <w:pPr>
              <w:pStyle w:val="ListParagraph"/>
              <w:numPr>
                <w:ilvl w:val="0"/>
                <w:numId w:val="2"/>
              </w:numPr>
              <w:contextualSpacing w:val="0"/>
              <w:rPr>
                <w:rFonts w:ascii="Arial" w:hAnsi="Arial" w:cs="Arial"/>
              </w:rPr>
            </w:pPr>
            <w:r>
              <w:rPr>
                <w:rFonts w:ascii="Arial" w:hAnsi="Arial" w:cs="Arial"/>
              </w:rPr>
              <w:t>Panels follow a standardised process through assessment of applicant against the ERF assessment criteria.</w:t>
            </w:r>
          </w:p>
          <w:p w14:paraId="0F474A92" w14:textId="77777777" w:rsidR="00CB58F8" w:rsidRDefault="00CB58F8" w:rsidP="00CB58F8">
            <w:pPr>
              <w:pStyle w:val="ListParagraph"/>
              <w:numPr>
                <w:ilvl w:val="0"/>
                <w:numId w:val="2"/>
              </w:numPr>
              <w:contextualSpacing w:val="0"/>
              <w:rPr>
                <w:rFonts w:ascii="Arial" w:hAnsi="Arial" w:cs="Arial"/>
              </w:rPr>
            </w:pPr>
            <w:r>
              <w:rPr>
                <w:rFonts w:ascii="Arial" w:hAnsi="Arial" w:cs="Arial"/>
              </w:rPr>
              <w:t>Use of research office observers to ensure no bias is introduced.</w:t>
            </w:r>
          </w:p>
          <w:p w14:paraId="3D04814E" w14:textId="77777777" w:rsidR="00CB58F8" w:rsidRDefault="00CB58F8">
            <w:pPr>
              <w:pStyle w:val="ListParagraph"/>
              <w:ind w:left="360"/>
              <w:rPr>
                <w:rFonts w:ascii="Arial" w:hAnsi="Arial" w:cs="Arial"/>
              </w:rPr>
            </w:pPr>
          </w:p>
        </w:tc>
      </w:tr>
      <w:tr w:rsidR="00CB58F8" w:rsidRPr="008972B5" w14:paraId="69A43178" w14:textId="77777777" w:rsidTr="2B7469B8">
        <w:tc>
          <w:tcPr>
            <w:tcW w:w="2972" w:type="dxa"/>
            <w:shd w:val="clear" w:color="auto" w:fill="D9F2D0" w:themeFill="accent6" w:themeFillTint="33"/>
          </w:tcPr>
          <w:p w14:paraId="11EC9EC6" w14:textId="77777777" w:rsidR="00CB58F8" w:rsidRPr="00683037" w:rsidRDefault="00CB58F8">
            <w:pPr>
              <w:rPr>
                <w:rFonts w:ascii="Arial" w:eastAsia="Times New Roman" w:hAnsi="Arial" w:cs="Arial"/>
                <w:b/>
                <w:bCs/>
              </w:rPr>
            </w:pPr>
            <w:r>
              <w:rPr>
                <w:rFonts w:ascii="Arial" w:eastAsia="Times New Roman" w:hAnsi="Arial" w:cs="Arial"/>
                <w:b/>
                <w:bCs/>
              </w:rPr>
              <w:t>Feedback and Support</w:t>
            </w:r>
          </w:p>
        </w:tc>
        <w:tc>
          <w:tcPr>
            <w:tcW w:w="6804" w:type="dxa"/>
            <w:shd w:val="clear" w:color="auto" w:fill="D9F2D0" w:themeFill="accent6" w:themeFillTint="33"/>
          </w:tcPr>
          <w:p w14:paraId="3D93C974" w14:textId="77777777" w:rsidR="00CB58F8" w:rsidRDefault="00CB58F8">
            <w:pPr>
              <w:pStyle w:val="ListParagraph"/>
              <w:ind w:left="360"/>
              <w:rPr>
                <w:rFonts w:ascii="Arial" w:hAnsi="Arial" w:cs="Arial"/>
              </w:rPr>
            </w:pPr>
          </w:p>
        </w:tc>
      </w:tr>
      <w:tr w:rsidR="00CB58F8" w:rsidRPr="008972B5" w14:paraId="334A23EA" w14:textId="77777777" w:rsidTr="2B7469B8">
        <w:tc>
          <w:tcPr>
            <w:tcW w:w="2972" w:type="dxa"/>
          </w:tcPr>
          <w:p w14:paraId="5B0AA9A0" w14:textId="77777777" w:rsidR="00CB58F8" w:rsidRPr="00683037" w:rsidRDefault="00CB58F8">
            <w:pPr>
              <w:rPr>
                <w:rFonts w:ascii="Arial" w:eastAsia="Times New Roman" w:hAnsi="Arial" w:cs="Arial"/>
              </w:rPr>
            </w:pPr>
            <w:r>
              <w:rPr>
                <w:rFonts w:ascii="Arial" w:eastAsia="Times New Roman" w:hAnsi="Arial" w:cs="Arial"/>
              </w:rPr>
              <w:t>How is feedback and support provided to all applicants?</w:t>
            </w:r>
          </w:p>
        </w:tc>
        <w:tc>
          <w:tcPr>
            <w:tcW w:w="6804" w:type="dxa"/>
          </w:tcPr>
          <w:p w14:paraId="431A4195" w14:textId="77777777" w:rsidR="00CB58F8" w:rsidRDefault="00CB58F8" w:rsidP="00CB58F8">
            <w:pPr>
              <w:pStyle w:val="ListParagraph"/>
              <w:numPr>
                <w:ilvl w:val="0"/>
                <w:numId w:val="2"/>
              </w:numPr>
              <w:contextualSpacing w:val="0"/>
              <w:rPr>
                <w:rFonts w:ascii="Arial" w:hAnsi="Arial" w:cs="Arial"/>
              </w:rPr>
            </w:pPr>
            <w:r>
              <w:rPr>
                <w:rFonts w:ascii="Arial" w:hAnsi="Arial" w:cs="Arial"/>
              </w:rPr>
              <w:t>Outcomes communicated promptly to every applicant.</w:t>
            </w:r>
          </w:p>
          <w:p w14:paraId="6152BE87" w14:textId="77777777" w:rsidR="00CB58F8" w:rsidRDefault="00CB58F8" w:rsidP="00CB58F8">
            <w:pPr>
              <w:pStyle w:val="ListParagraph"/>
              <w:numPr>
                <w:ilvl w:val="0"/>
                <w:numId w:val="2"/>
              </w:numPr>
              <w:contextualSpacing w:val="0"/>
              <w:rPr>
                <w:rFonts w:ascii="Arial" w:hAnsi="Arial" w:cs="Arial"/>
              </w:rPr>
            </w:pPr>
            <w:r>
              <w:rPr>
                <w:rFonts w:ascii="Arial" w:hAnsi="Arial" w:cs="Arial"/>
              </w:rPr>
              <w:t>Feedback is provided to all unsuccessful applicants and support to apply for other, more suitable funding opportunities, is offered.</w:t>
            </w:r>
          </w:p>
          <w:p w14:paraId="3E64333C" w14:textId="77777777" w:rsidR="00CB58F8" w:rsidRDefault="00CB58F8" w:rsidP="00CB58F8">
            <w:pPr>
              <w:pStyle w:val="ListParagraph"/>
              <w:numPr>
                <w:ilvl w:val="0"/>
                <w:numId w:val="2"/>
              </w:numPr>
              <w:contextualSpacing w:val="0"/>
              <w:rPr>
                <w:rFonts w:ascii="Arial" w:hAnsi="Arial" w:cs="Arial"/>
              </w:rPr>
            </w:pPr>
            <w:r>
              <w:rPr>
                <w:rFonts w:ascii="Arial" w:hAnsi="Arial" w:cs="Arial"/>
              </w:rPr>
              <w:t>Feedback is provided to short-listed applicants.</w:t>
            </w:r>
          </w:p>
          <w:p w14:paraId="250E57BF" w14:textId="77777777" w:rsidR="00CB58F8" w:rsidRDefault="00CB58F8" w:rsidP="00CB58F8">
            <w:pPr>
              <w:pStyle w:val="ListParagraph"/>
              <w:numPr>
                <w:ilvl w:val="0"/>
                <w:numId w:val="2"/>
              </w:numPr>
              <w:contextualSpacing w:val="0"/>
              <w:rPr>
                <w:rFonts w:ascii="Arial" w:hAnsi="Arial" w:cs="Arial"/>
              </w:rPr>
            </w:pPr>
            <w:r>
              <w:rPr>
                <w:rFonts w:ascii="Arial" w:hAnsi="Arial" w:cs="Arial"/>
              </w:rPr>
              <w:t>Explanation of the next stage and support provided.</w:t>
            </w:r>
          </w:p>
          <w:p w14:paraId="3248F0C9" w14:textId="77777777" w:rsidR="00CB58F8" w:rsidRDefault="00CB58F8">
            <w:pPr>
              <w:pStyle w:val="ListParagraph"/>
              <w:ind w:left="360"/>
              <w:rPr>
                <w:rFonts w:ascii="Arial" w:hAnsi="Arial" w:cs="Arial"/>
              </w:rPr>
            </w:pPr>
          </w:p>
        </w:tc>
      </w:tr>
      <w:tr w:rsidR="00CB58F8" w:rsidRPr="008972B5" w14:paraId="4196D687" w14:textId="77777777" w:rsidTr="2B7469B8">
        <w:tc>
          <w:tcPr>
            <w:tcW w:w="2972" w:type="dxa"/>
          </w:tcPr>
          <w:p w14:paraId="3E509A21" w14:textId="77777777" w:rsidR="00CB58F8" w:rsidRDefault="00CB58F8">
            <w:pPr>
              <w:rPr>
                <w:rFonts w:ascii="Arial" w:eastAsia="Times New Roman" w:hAnsi="Arial" w:cs="Arial"/>
              </w:rPr>
            </w:pPr>
            <w:r>
              <w:rPr>
                <w:rFonts w:ascii="Arial" w:eastAsia="Times New Roman" w:hAnsi="Arial" w:cs="Arial"/>
              </w:rPr>
              <w:t>What support is provided to upskill research office staff and panel members?</w:t>
            </w:r>
          </w:p>
        </w:tc>
        <w:tc>
          <w:tcPr>
            <w:tcW w:w="6804" w:type="dxa"/>
          </w:tcPr>
          <w:p w14:paraId="3535C0D3" w14:textId="77777777" w:rsidR="00CB58F8" w:rsidRDefault="00CB58F8" w:rsidP="00CB58F8">
            <w:pPr>
              <w:pStyle w:val="ListParagraph"/>
              <w:numPr>
                <w:ilvl w:val="0"/>
                <w:numId w:val="2"/>
              </w:numPr>
              <w:contextualSpacing w:val="0"/>
              <w:rPr>
                <w:rFonts w:ascii="Arial" w:hAnsi="Arial" w:cs="Arial"/>
              </w:rPr>
            </w:pPr>
            <w:r>
              <w:rPr>
                <w:rFonts w:ascii="Arial" w:hAnsi="Arial" w:cs="Arial"/>
              </w:rPr>
              <w:t>Informal sharing of knowledge in staff networks of the ERF scheme by more experienced colleagues, ensuring all applicants are supported with equal expertise.</w:t>
            </w:r>
          </w:p>
          <w:p w14:paraId="6A333A83" w14:textId="77777777" w:rsidR="00CB58F8" w:rsidRPr="00683037" w:rsidRDefault="00CB58F8" w:rsidP="00CB58F8">
            <w:pPr>
              <w:pStyle w:val="ListParagraph"/>
              <w:numPr>
                <w:ilvl w:val="0"/>
                <w:numId w:val="2"/>
              </w:numPr>
              <w:contextualSpacing w:val="0"/>
              <w:rPr>
                <w:rFonts w:ascii="Arial" w:hAnsi="Arial" w:cs="Arial"/>
              </w:rPr>
            </w:pPr>
            <w:r>
              <w:rPr>
                <w:rFonts w:ascii="Arial" w:hAnsi="Arial" w:cs="Arial"/>
              </w:rPr>
              <w:t>Inclusive recruitment and selection technique training.</w:t>
            </w:r>
          </w:p>
          <w:p w14:paraId="4A58A7F4" w14:textId="77777777" w:rsidR="00CB58F8" w:rsidRDefault="00CB58F8" w:rsidP="00CB58F8">
            <w:pPr>
              <w:pStyle w:val="ListParagraph"/>
              <w:numPr>
                <w:ilvl w:val="0"/>
                <w:numId w:val="2"/>
              </w:numPr>
              <w:contextualSpacing w:val="0"/>
              <w:rPr>
                <w:rFonts w:ascii="Arial" w:hAnsi="Arial" w:cs="Arial"/>
              </w:rPr>
            </w:pPr>
            <w:r>
              <w:rPr>
                <w:rFonts w:ascii="Arial" w:hAnsi="Arial" w:cs="Arial"/>
              </w:rPr>
              <w:t>Diversity awareness and unconscious bias training for all staff.</w:t>
            </w:r>
          </w:p>
          <w:p w14:paraId="463018DA" w14:textId="77777777" w:rsidR="00CB58F8" w:rsidRDefault="00CB58F8" w:rsidP="00CB58F8">
            <w:pPr>
              <w:pStyle w:val="ListParagraph"/>
              <w:numPr>
                <w:ilvl w:val="0"/>
                <w:numId w:val="2"/>
              </w:numPr>
              <w:contextualSpacing w:val="0"/>
              <w:rPr>
                <w:rFonts w:ascii="Arial" w:hAnsi="Arial" w:cs="Arial"/>
              </w:rPr>
            </w:pPr>
            <w:r>
              <w:rPr>
                <w:rFonts w:ascii="Arial" w:hAnsi="Arial" w:cs="Arial"/>
              </w:rPr>
              <w:t>Data protection training.</w:t>
            </w:r>
          </w:p>
          <w:p w14:paraId="3E363B89" w14:textId="77777777" w:rsidR="00CB58F8" w:rsidRDefault="00CB58F8">
            <w:pPr>
              <w:pStyle w:val="ListParagraph"/>
              <w:ind w:left="360"/>
              <w:rPr>
                <w:rFonts w:ascii="Arial" w:hAnsi="Arial" w:cs="Arial"/>
              </w:rPr>
            </w:pPr>
          </w:p>
        </w:tc>
      </w:tr>
      <w:tr w:rsidR="00CB58F8" w:rsidRPr="008972B5" w14:paraId="3639EEAB" w14:textId="77777777" w:rsidTr="2B7469B8">
        <w:tc>
          <w:tcPr>
            <w:tcW w:w="2972" w:type="dxa"/>
            <w:shd w:val="clear" w:color="auto" w:fill="D9F2D0" w:themeFill="accent6" w:themeFillTint="33"/>
          </w:tcPr>
          <w:p w14:paraId="52B0D820" w14:textId="77777777" w:rsidR="00CB58F8" w:rsidRPr="00683037" w:rsidRDefault="00CB58F8">
            <w:pPr>
              <w:rPr>
                <w:rFonts w:ascii="Arial" w:eastAsia="Times New Roman" w:hAnsi="Arial" w:cs="Arial"/>
                <w:b/>
                <w:bCs/>
              </w:rPr>
            </w:pPr>
            <w:r>
              <w:rPr>
                <w:rFonts w:ascii="Arial" w:eastAsia="Times New Roman" w:hAnsi="Arial" w:cs="Arial"/>
                <w:b/>
                <w:bCs/>
              </w:rPr>
              <w:t>Final Review</w:t>
            </w:r>
          </w:p>
        </w:tc>
        <w:tc>
          <w:tcPr>
            <w:tcW w:w="6804" w:type="dxa"/>
            <w:shd w:val="clear" w:color="auto" w:fill="D9F2D0" w:themeFill="accent6" w:themeFillTint="33"/>
          </w:tcPr>
          <w:p w14:paraId="656030B8" w14:textId="77777777" w:rsidR="00CB58F8" w:rsidRDefault="00CB58F8">
            <w:pPr>
              <w:pStyle w:val="ListParagraph"/>
              <w:ind w:left="360"/>
              <w:rPr>
                <w:rFonts w:ascii="Arial" w:hAnsi="Arial" w:cs="Arial"/>
              </w:rPr>
            </w:pPr>
          </w:p>
        </w:tc>
      </w:tr>
      <w:tr w:rsidR="00CB58F8" w:rsidRPr="008972B5" w14:paraId="3985CB21" w14:textId="77777777" w:rsidTr="2B7469B8">
        <w:tc>
          <w:tcPr>
            <w:tcW w:w="2972" w:type="dxa"/>
          </w:tcPr>
          <w:p w14:paraId="6785D835" w14:textId="77777777" w:rsidR="00CB58F8" w:rsidRDefault="00CB58F8">
            <w:pPr>
              <w:rPr>
                <w:rFonts w:ascii="Arial" w:eastAsia="Times New Roman" w:hAnsi="Arial" w:cs="Arial"/>
                <w:b/>
                <w:bCs/>
              </w:rPr>
            </w:pPr>
            <w:r w:rsidRPr="008972B5">
              <w:rPr>
                <w:rFonts w:ascii="Arial" w:eastAsia="Times New Roman" w:hAnsi="Arial" w:cs="Arial"/>
              </w:rPr>
              <w:t>What processes were used to identify final candidates?</w:t>
            </w:r>
          </w:p>
        </w:tc>
        <w:tc>
          <w:tcPr>
            <w:tcW w:w="6804" w:type="dxa"/>
          </w:tcPr>
          <w:p w14:paraId="14C44B0A" w14:textId="77777777" w:rsidR="00CB58F8" w:rsidRPr="00683037" w:rsidRDefault="00CB58F8" w:rsidP="00CB58F8">
            <w:pPr>
              <w:pStyle w:val="ListParagraph"/>
              <w:numPr>
                <w:ilvl w:val="0"/>
                <w:numId w:val="2"/>
              </w:numPr>
              <w:contextualSpacing w:val="0"/>
              <w:rPr>
                <w:rFonts w:ascii="Arial" w:hAnsi="Arial" w:cs="Arial"/>
              </w:rPr>
            </w:pPr>
            <w:r>
              <w:rPr>
                <w:rFonts w:ascii="Arial" w:hAnsi="Arial" w:cs="Arial"/>
              </w:rPr>
              <w:t>Final short-list agree</w:t>
            </w:r>
            <w:r w:rsidRPr="008972B5">
              <w:rPr>
                <w:rFonts w:ascii="Arial" w:hAnsi="Arial" w:cs="Arial"/>
              </w:rPr>
              <w:t xml:space="preserve">ment made collectively </w:t>
            </w:r>
            <w:r>
              <w:rPr>
                <w:rFonts w:ascii="Arial" w:hAnsi="Arial" w:cs="Arial"/>
              </w:rPr>
              <w:t>by single panel to include Research Office and EDI lead.</w:t>
            </w:r>
          </w:p>
          <w:p w14:paraId="497F73AF" w14:textId="77777777" w:rsidR="00CB58F8" w:rsidRDefault="00CB58F8">
            <w:pPr>
              <w:pStyle w:val="ListParagraph"/>
              <w:ind w:left="360"/>
              <w:rPr>
                <w:rFonts w:ascii="Arial" w:hAnsi="Arial" w:cs="Arial"/>
              </w:rPr>
            </w:pPr>
          </w:p>
        </w:tc>
      </w:tr>
      <w:tr w:rsidR="00CB58F8" w:rsidRPr="008972B5" w14:paraId="64FB664E" w14:textId="77777777" w:rsidTr="2B7469B8">
        <w:tc>
          <w:tcPr>
            <w:tcW w:w="2972" w:type="dxa"/>
            <w:shd w:val="clear" w:color="auto" w:fill="D9F2D0" w:themeFill="accent6" w:themeFillTint="33"/>
          </w:tcPr>
          <w:p w14:paraId="5CCE8090" w14:textId="77777777" w:rsidR="00CB58F8" w:rsidRPr="008972B5" w:rsidRDefault="00CB58F8">
            <w:pPr>
              <w:rPr>
                <w:rFonts w:ascii="Arial" w:eastAsia="Times New Roman" w:hAnsi="Arial" w:cs="Arial"/>
              </w:rPr>
            </w:pPr>
            <w:r>
              <w:rPr>
                <w:rFonts w:ascii="Arial" w:eastAsia="Times New Roman" w:hAnsi="Arial" w:cs="Arial"/>
                <w:b/>
                <w:bCs/>
              </w:rPr>
              <w:t>Review and Improvement</w:t>
            </w:r>
          </w:p>
        </w:tc>
        <w:tc>
          <w:tcPr>
            <w:tcW w:w="6804" w:type="dxa"/>
            <w:shd w:val="clear" w:color="auto" w:fill="D9F2D0" w:themeFill="accent6" w:themeFillTint="33"/>
          </w:tcPr>
          <w:p w14:paraId="7926EA67" w14:textId="77777777" w:rsidR="00CB58F8" w:rsidRPr="008972B5" w:rsidRDefault="00CB58F8">
            <w:pPr>
              <w:rPr>
                <w:rFonts w:ascii="Arial" w:hAnsi="Arial" w:cs="Arial"/>
              </w:rPr>
            </w:pPr>
          </w:p>
        </w:tc>
      </w:tr>
      <w:tr w:rsidR="00CB58F8" w:rsidRPr="008972B5" w14:paraId="67E45D16" w14:textId="77777777" w:rsidTr="2B7469B8">
        <w:tc>
          <w:tcPr>
            <w:tcW w:w="2972" w:type="dxa"/>
          </w:tcPr>
          <w:p w14:paraId="1B90A5F7" w14:textId="77777777" w:rsidR="00CB58F8" w:rsidRPr="008972B5" w:rsidRDefault="00CB58F8">
            <w:pPr>
              <w:rPr>
                <w:rFonts w:ascii="Arial" w:hAnsi="Arial" w:cs="Arial"/>
              </w:rPr>
            </w:pPr>
            <w:r w:rsidRPr="008972B5">
              <w:rPr>
                <w:rFonts w:ascii="Arial" w:eastAsia="Times New Roman" w:hAnsi="Arial" w:cs="Arial"/>
              </w:rPr>
              <w:t xml:space="preserve">How does the </w:t>
            </w:r>
            <w:r>
              <w:rPr>
                <w:rFonts w:ascii="Arial" w:eastAsia="Times New Roman" w:hAnsi="Arial" w:cs="Arial"/>
              </w:rPr>
              <w:t>institution</w:t>
            </w:r>
            <w:r w:rsidRPr="008972B5">
              <w:rPr>
                <w:rFonts w:ascii="Arial" w:eastAsia="Times New Roman" w:hAnsi="Arial" w:cs="Arial"/>
              </w:rPr>
              <w:t xml:space="preserve"> promote and take action to address equality at all levels and foster a more inclusive working environment?</w:t>
            </w:r>
          </w:p>
        </w:tc>
        <w:tc>
          <w:tcPr>
            <w:tcW w:w="6804" w:type="dxa"/>
          </w:tcPr>
          <w:p w14:paraId="173BB03A" w14:textId="77777777" w:rsidR="00CB58F8" w:rsidRPr="00FF5882" w:rsidRDefault="00CB58F8" w:rsidP="2B7469B8">
            <w:pPr>
              <w:pStyle w:val="ListParagraph"/>
              <w:numPr>
                <w:ilvl w:val="0"/>
                <w:numId w:val="2"/>
              </w:numPr>
              <w:rPr>
                <w:rFonts w:cs="Arial"/>
              </w:rPr>
            </w:pPr>
            <w:r w:rsidRPr="2B7469B8">
              <w:rPr>
                <w:rFonts w:cs="Arial"/>
              </w:rPr>
              <w:t>This could, for example, include the processes you adopt and/or holding of charter marks, such as Athena SWAN or Project Juno awards.</w:t>
            </w:r>
          </w:p>
        </w:tc>
      </w:tr>
      <w:tr w:rsidR="00CB58F8" w:rsidRPr="008972B5" w14:paraId="770FF972" w14:textId="77777777" w:rsidTr="2B7469B8">
        <w:tc>
          <w:tcPr>
            <w:tcW w:w="2972" w:type="dxa"/>
          </w:tcPr>
          <w:p w14:paraId="3ED401CA" w14:textId="77777777" w:rsidR="00CB58F8" w:rsidRPr="008F6F88" w:rsidRDefault="00CB58F8">
            <w:pPr>
              <w:rPr>
                <w:rFonts w:ascii="Arial" w:eastAsia="Times New Roman" w:hAnsi="Arial" w:cs="Arial"/>
              </w:rPr>
            </w:pPr>
            <w:r>
              <w:rPr>
                <w:rFonts w:ascii="Arial" w:eastAsia="Times New Roman" w:hAnsi="Arial" w:cs="Arial"/>
              </w:rPr>
              <w:t>How does the institution promote a culture of continuous review and improvement?</w:t>
            </w:r>
          </w:p>
        </w:tc>
        <w:tc>
          <w:tcPr>
            <w:tcW w:w="6804" w:type="dxa"/>
          </w:tcPr>
          <w:p w14:paraId="6611C558" w14:textId="07CC07F8" w:rsidR="00CB58F8" w:rsidRPr="008972B5" w:rsidRDefault="1AB48BFB" w:rsidP="3231DECC">
            <w:pPr>
              <w:rPr>
                <w:rFonts w:ascii="Arial" w:hAnsi="Arial" w:cs="Arial"/>
              </w:rPr>
            </w:pPr>
            <w:r w:rsidRPr="2B7469B8">
              <w:rPr>
                <w:rFonts w:ascii="Arial" w:hAnsi="Arial" w:cs="Arial"/>
              </w:rPr>
              <w:t>For example, as per the Researcher Development Concordat:</w:t>
            </w:r>
          </w:p>
          <w:p w14:paraId="08B46EC1" w14:textId="7FA8D266" w:rsidR="00CB58F8" w:rsidRPr="008972B5" w:rsidRDefault="1AB48BFB" w:rsidP="2B7469B8">
            <w:pPr>
              <w:pStyle w:val="ListParagraph"/>
              <w:numPr>
                <w:ilvl w:val="0"/>
                <w:numId w:val="1"/>
              </w:numPr>
              <w:rPr>
                <w:rFonts w:ascii="Arial" w:hAnsi="Arial" w:cs="Arial"/>
              </w:rPr>
            </w:pPr>
            <w:r w:rsidRPr="2B7469B8">
              <w:rPr>
                <w:rFonts w:ascii="Arial" w:hAnsi="Arial" w:cs="Arial"/>
              </w:rPr>
              <w:t>Undertake annual gap analyses of recruitment processes</w:t>
            </w:r>
          </w:p>
          <w:p w14:paraId="3DAB74E5" w14:textId="4311B648" w:rsidR="54F82B5A" w:rsidRDefault="54F82B5A" w:rsidP="2B7469B8">
            <w:pPr>
              <w:pStyle w:val="ListParagraph"/>
              <w:numPr>
                <w:ilvl w:val="0"/>
                <w:numId w:val="1"/>
              </w:numPr>
              <w:rPr>
                <w:rFonts w:ascii="Arial" w:hAnsi="Arial" w:cs="Arial"/>
              </w:rPr>
            </w:pPr>
            <w:r w:rsidRPr="2B7469B8">
              <w:rPr>
                <w:rFonts w:ascii="Arial" w:hAnsi="Arial" w:cs="Arial"/>
              </w:rPr>
              <w:t>Agree and review recruitment process improvement actions through annual planning and reporting cycle to the institutions governing body</w:t>
            </w:r>
          </w:p>
          <w:p w14:paraId="641ADDCC" w14:textId="469D0FA4" w:rsidR="00CB58F8" w:rsidRPr="008972B5" w:rsidRDefault="1AB48BFB" w:rsidP="2B7469B8">
            <w:pPr>
              <w:pStyle w:val="ListParagraph"/>
              <w:numPr>
                <w:ilvl w:val="0"/>
                <w:numId w:val="1"/>
              </w:numPr>
              <w:rPr>
                <w:rFonts w:ascii="Arial" w:hAnsi="Arial" w:cs="Arial"/>
              </w:rPr>
            </w:pPr>
            <w:r w:rsidRPr="2B7469B8">
              <w:rPr>
                <w:rFonts w:ascii="Arial" w:hAnsi="Arial" w:cs="Arial"/>
              </w:rPr>
              <w:lastRenderedPageBreak/>
              <w:t>Review applicant and panel feedback systematically</w:t>
            </w:r>
          </w:p>
          <w:p w14:paraId="44CF9B58" w14:textId="66C86E85" w:rsidR="00CB58F8" w:rsidRPr="008972B5" w:rsidRDefault="1AB48BFB" w:rsidP="2B7469B8">
            <w:pPr>
              <w:pStyle w:val="ListParagraph"/>
              <w:numPr>
                <w:ilvl w:val="0"/>
                <w:numId w:val="1"/>
              </w:numPr>
              <w:rPr>
                <w:rFonts w:ascii="Arial" w:hAnsi="Arial" w:cs="Arial"/>
              </w:rPr>
            </w:pPr>
            <w:r w:rsidRPr="2B7469B8">
              <w:rPr>
                <w:rFonts w:ascii="Arial" w:hAnsi="Arial" w:cs="Arial"/>
              </w:rPr>
              <w:t xml:space="preserve">Use external benchmarking </w:t>
            </w:r>
            <w:r w:rsidR="38AFB1AE" w:rsidRPr="2B7469B8">
              <w:rPr>
                <w:rFonts w:ascii="Arial" w:hAnsi="Arial" w:cs="Arial"/>
              </w:rPr>
              <w:t>(</w:t>
            </w:r>
            <w:r w:rsidRPr="2B7469B8">
              <w:rPr>
                <w:rFonts w:ascii="Arial" w:hAnsi="Arial" w:cs="Arial"/>
              </w:rPr>
              <w:t>e.g. Vitae</w:t>
            </w:r>
            <w:r w:rsidR="415B8AB3" w:rsidRPr="2B7469B8">
              <w:rPr>
                <w:rFonts w:ascii="Arial" w:hAnsi="Arial" w:cs="Arial"/>
              </w:rPr>
              <w:t xml:space="preserve"> CEDARS survey, HR Excellence in Research Award, European Charter alignment</w:t>
            </w:r>
            <w:r w:rsidRPr="2B7469B8">
              <w:rPr>
                <w:rFonts w:ascii="Arial" w:hAnsi="Arial" w:cs="Arial"/>
              </w:rPr>
              <w:t>, sector surveys</w:t>
            </w:r>
            <w:r w:rsidR="34DFA10C" w:rsidRPr="2B7469B8">
              <w:rPr>
                <w:rFonts w:ascii="Arial" w:hAnsi="Arial" w:cs="Arial"/>
              </w:rPr>
              <w:t>)</w:t>
            </w:r>
          </w:p>
          <w:p w14:paraId="66557254" w14:textId="1730A307" w:rsidR="00CB58F8" w:rsidRPr="008972B5" w:rsidRDefault="34DFA10C" w:rsidP="2B7469B8">
            <w:pPr>
              <w:pStyle w:val="ListParagraph"/>
              <w:numPr>
                <w:ilvl w:val="0"/>
                <w:numId w:val="1"/>
              </w:numPr>
              <w:rPr>
                <w:rFonts w:ascii="Arial" w:hAnsi="Arial" w:cs="Arial"/>
              </w:rPr>
            </w:pPr>
            <w:r w:rsidRPr="2B7469B8">
              <w:rPr>
                <w:rFonts w:ascii="Arial" w:hAnsi="Arial" w:cs="Arial"/>
              </w:rPr>
              <w:t>Use tools to support strategic planning on research culture, including recruitment (e.g., UKRI-Vitae Research Culture Framework)</w:t>
            </w:r>
          </w:p>
        </w:tc>
      </w:tr>
      <w:tr w:rsidR="00CB58F8" w:rsidRPr="008972B5" w14:paraId="21CD7B66" w14:textId="77777777" w:rsidTr="2B7469B8">
        <w:tc>
          <w:tcPr>
            <w:tcW w:w="2972" w:type="dxa"/>
          </w:tcPr>
          <w:p w14:paraId="3AE19110" w14:textId="77777777" w:rsidR="00CB58F8" w:rsidRDefault="00CB58F8">
            <w:pPr>
              <w:rPr>
                <w:rFonts w:ascii="Arial" w:eastAsia="Times New Roman" w:hAnsi="Arial" w:cs="Arial"/>
                <w:b/>
                <w:bCs/>
              </w:rPr>
            </w:pPr>
            <w:r>
              <w:rPr>
                <w:rFonts w:ascii="Arial" w:hAnsi="Arial" w:cs="Arial"/>
              </w:rPr>
              <w:lastRenderedPageBreak/>
              <w:t>Please tell us about any updates or improvements you have made to your selection processes this year.</w:t>
            </w:r>
          </w:p>
        </w:tc>
        <w:tc>
          <w:tcPr>
            <w:tcW w:w="6804" w:type="dxa"/>
          </w:tcPr>
          <w:p w14:paraId="7A86D605" w14:textId="77777777" w:rsidR="00CB58F8" w:rsidRPr="008972B5" w:rsidRDefault="00CB58F8">
            <w:pPr>
              <w:rPr>
                <w:rFonts w:ascii="Arial" w:hAnsi="Arial" w:cs="Arial"/>
              </w:rPr>
            </w:pPr>
          </w:p>
        </w:tc>
      </w:tr>
      <w:tr w:rsidR="00CB58F8" w:rsidRPr="008972B5" w14:paraId="3054A29A" w14:textId="77777777" w:rsidTr="2B7469B8">
        <w:tc>
          <w:tcPr>
            <w:tcW w:w="2972" w:type="dxa"/>
            <w:shd w:val="clear" w:color="auto" w:fill="D9F2D0" w:themeFill="accent6" w:themeFillTint="33"/>
          </w:tcPr>
          <w:p w14:paraId="6303BC03" w14:textId="77777777" w:rsidR="00CB58F8" w:rsidRPr="00683037" w:rsidRDefault="00CB58F8">
            <w:pPr>
              <w:rPr>
                <w:rFonts w:ascii="Arial" w:hAnsi="Arial" w:cs="Arial"/>
                <w:b/>
                <w:bCs/>
              </w:rPr>
            </w:pPr>
            <w:r w:rsidRPr="00683037">
              <w:rPr>
                <w:rFonts w:ascii="Arial" w:hAnsi="Arial" w:cs="Arial"/>
                <w:b/>
                <w:bCs/>
              </w:rPr>
              <w:t>Further information</w:t>
            </w:r>
          </w:p>
        </w:tc>
        <w:tc>
          <w:tcPr>
            <w:tcW w:w="6804" w:type="dxa"/>
            <w:shd w:val="clear" w:color="auto" w:fill="D9F2D0" w:themeFill="accent6" w:themeFillTint="33"/>
          </w:tcPr>
          <w:p w14:paraId="2150B5A1" w14:textId="77777777" w:rsidR="00CB58F8" w:rsidRPr="00683037" w:rsidRDefault="00CB58F8">
            <w:pPr>
              <w:rPr>
                <w:rFonts w:ascii="Arial" w:hAnsi="Arial" w:cs="Arial"/>
              </w:rPr>
            </w:pPr>
          </w:p>
        </w:tc>
      </w:tr>
      <w:tr w:rsidR="00CB58F8" w:rsidRPr="008972B5" w14:paraId="160A6A83" w14:textId="77777777" w:rsidTr="2B7469B8">
        <w:tc>
          <w:tcPr>
            <w:tcW w:w="2972" w:type="dxa"/>
          </w:tcPr>
          <w:p w14:paraId="39EEC1DE" w14:textId="77777777" w:rsidR="00CB58F8" w:rsidRPr="008972B5" w:rsidRDefault="00CB58F8">
            <w:pPr>
              <w:rPr>
                <w:rFonts w:ascii="Arial" w:hAnsi="Arial" w:cs="Arial"/>
              </w:rPr>
            </w:pPr>
            <w:r w:rsidRPr="008972B5">
              <w:rPr>
                <w:rFonts w:ascii="Arial" w:hAnsi="Arial" w:cs="Arial"/>
              </w:rPr>
              <w:t>Tell us about any examples of good practice you took to select candidates.</w:t>
            </w:r>
          </w:p>
        </w:tc>
        <w:tc>
          <w:tcPr>
            <w:tcW w:w="6804" w:type="dxa"/>
          </w:tcPr>
          <w:p w14:paraId="179025E9" w14:textId="77777777" w:rsidR="00CB58F8" w:rsidRPr="008972B5" w:rsidRDefault="00CB58F8" w:rsidP="00CB58F8">
            <w:pPr>
              <w:pStyle w:val="ListParagraph"/>
              <w:numPr>
                <w:ilvl w:val="0"/>
                <w:numId w:val="5"/>
              </w:numPr>
              <w:ind w:left="311" w:hanging="311"/>
              <w:contextualSpacing w:val="0"/>
              <w:rPr>
                <w:rFonts w:ascii="Arial" w:hAnsi="Arial" w:cs="Arial"/>
              </w:rPr>
            </w:pPr>
            <w:r w:rsidRPr="008972B5">
              <w:rPr>
                <w:rFonts w:ascii="Arial" w:hAnsi="Arial" w:cs="Arial"/>
              </w:rPr>
              <w:t xml:space="preserve">Following guidance in internal or independent reports e.g. </w:t>
            </w:r>
            <w:hyperlink r:id="rId18" w:history="1">
              <w:r w:rsidRPr="008972B5">
                <w:rPr>
                  <w:rStyle w:val="Hyperlink"/>
                  <w:rFonts w:ascii="Arial" w:hAnsi="Arial" w:cs="Arial"/>
                  <w:color w:val="auto"/>
                </w:rPr>
                <w:t>Equity and Inclusivity in Research Funding (ox.ac.uk)</w:t>
              </w:r>
            </w:hyperlink>
          </w:p>
          <w:p w14:paraId="100B2155" w14:textId="77777777" w:rsidR="00CB58F8" w:rsidRPr="008972B5" w:rsidRDefault="00CB58F8">
            <w:pPr>
              <w:rPr>
                <w:rFonts w:ascii="Arial" w:hAnsi="Arial" w:cs="Arial"/>
              </w:rPr>
            </w:pPr>
          </w:p>
        </w:tc>
      </w:tr>
      <w:tr w:rsidR="00CB58F8" w:rsidRPr="008972B5" w14:paraId="527D8EAC" w14:textId="77777777" w:rsidTr="2B7469B8">
        <w:tc>
          <w:tcPr>
            <w:tcW w:w="2972" w:type="dxa"/>
          </w:tcPr>
          <w:p w14:paraId="28A4D2A6" w14:textId="402E176C" w:rsidR="00CB58F8" w:rsidRPr="008972B5" w:rsidRDefault="00CB58F8">
            <w:pPr>
              <w:rPr>
                <w:rFonts w:ascii="Arial" w:hAnsi="Arial" w:cs="Arial"/>
              </w:rPr>
            </w:pPr>
            <w:r w:rsidRPr="008972B5">
              <w:rPr>
                <w:rFonts w:ascii="Arial" w:hAnsi="Arial" w:cs="Arial"/>
              </w:rPr>
              <w:t xml:space="preserve">How many applications / expressions of interest did you receive for the ERF in your </w:t>
            </w:r>
            <w:r w:rsidR="008E4207">
              <w:rPr>
                <w:rFonts w:ascii="Arial" w:hAnsi="Arial" w:cs="Arial"/>
              </w:rPr>
              <w:t>institution</w:t>
            </w:r>
            <w:r w:rsidRPr="008972B5">
              <w:rPr>
                <w:rFonts w:ascii="Arial" w:hAnsi="Arial" w:cs="Arial"/>
              </w:rPr>
              <w:t>?</w:t>
            </w:r>
          </w:p>
        </w:tc>
        <w:tc>
          <w:tcPr>
            <w:tcW w:w="6804" w:type="dxa"/>
          </w:tcPr>
          <w:p w14:paraId="5631E07A" w14:textId="77777777" w:rsidR="00CB58F8" w:rsidRPr="008972B5" w:rsidRDefault="00CB58F8">
            <w:pPr>
              <w:rPr>
                <w:rFonts w:ascii="Arial" w:hAnsi="Arial" w:cs="Arial"/>
              </w:rPr>
            </w:pPr>
          </w:p>
        </w:tc>
      </w:tr>
      <w:tr w:rsidR="00CB58F8" w:rsidRPr="008972B5" w14:paraId="5AE42043" w14:textId="77777777" w:rsidTr="2B7469B8">
        <w:tc>
          <w:tcPr>
            <w:tcW w:w="2972" w:type="dxa"/>
          </w:tcPr>
          <w:p w14:paraId="35D73AF8" w14:textId="77777777" w:rsidR="00CB58F8" w:rsidRPr="008972B5" w:rsidRDefault="00CB58F8">
            <w:pPr>
              <w:rPr>
                <w:rFonts w:ascii="Arial" w:hAnsi="Arial" w:cs="Arial"/>
              </w:rPr>
            </w:pPr>
            <w:r w:rsidRPr="008972B5">
              <w:rPr>
                <w:rFonts w:ascii="Arial" w:hAnsi="Arial" w:cs="Arial"/>
              </w:rPr>
              <w:t>Can you specify how many applicants were internal, external, and international detailing how successful they were in the process.</w:t>
            </w:r>
          </w:p>
        </w:tc>
        <w:tc>
          <w:tcPr>
            <w:tcW w:w="6804" w:type="dxa"/>
          </w:tcPr>
          <w:p w14:paraId="1CFE17CF" w14:textId="77777777" w:rsidR="00CB58F8" w:rsidRPr="008972B5" w:rsidRDefault="00CB58F8">
            <w:pPr>
              <w:rPr>
                <w:rFonts w:ascii="Arial" w:hAnsi="Arial" w:cs="Arial"/>
              </w:rPr>
            </w:pPr>
          </w:p>
        </w:tc>
      </w:tr>
      <w:tr w:rsidR="00993E81" w:rsidRPr="008972B5" w14:paraId="15AEC870" w14:textId="77777777" w:rsidTr="2B7469B8">
        <w:tc>
          <w:tcPr>
            <w:tcW w:w="2972" w:type="dxa"/>
          </w:tcPr>
          <w:p w14:paraId="4E6177F7" w14:textId="77777777" w:rsidR="00993E81" w:rsidRDefault="00993E81" w:rsidP="00993E81">
            <w:pPr>
              <w:rPr>
                <w:rFonts w:ascii="Arial" w:hAnsi="Arial" w:cs="Arial"/>
              </w:rPr>
            </w:pPr>
            <w:r w:rsidRPr="008972B5">
              <w:rPr>
                <w:rFonts w:ascii="Arial" w:hAnsi="Arial" w:cs="Arial"/>
              </w:rPr>
              <w:t>How many applicants were returning to research from a career break, and did they require additional support?</w:t>
            </w:r>
          </w:p>
          <w:p w14:paraId="0093DF38" w14:textId="77777777" w:rsidR="00993E81" w:rsidRPr="008972B5" w:rsidRDefault="00993E81" w:rsidP="00993E81">
            <w:pPr>
              <w:rPr>
                <w:rFonts w:cs="Arial"/>
              </w:rPr>
            </w:pPr>
          </w:p>
        </w:tc>
        <w:tc>
          <w:tcPr>
            <w:tcW w:w="6804" w:type="dxa"/>
          </w:tcPr>
          <w:p w14:paraId="43E72622" w14:textId="77777777" w:rsidR="00993E81" w:rsidRPr="008972B5" w:rsidRDefault="00993E81" w:rsidP="00993E81">
            <w:pPr>
              <w:rPr>
                <w:rFonts w:cs="Arial"/>
              </w:rPr>
            </w:pPr>
          </w:p>
        </w:tc>
      </w:tr>
    </w:tbl>
    <w:p w14:paraId="7CB68FCA" w14:textId="77777777" w:rsidR="00CB58F8" w:rsidRPr="008972B5" w:rsidRDefault="00CB58F8" w:rsidP="00CB58F8">
      <w:pPr>
        <w:rPr>
          <w:rFonts w:cs="Arial"/>
        </w:rPr>
      </w:pPr>
    </w:p>
    <w:p w14:paraId="02B73657" w14:textId="77777777" w:rsidR="00CB58F8" w:rsidRDefault="00CB58F8" w:rsidP="00CB58F8">
      <w:pPr>
        <w:rPr>
          <w:rFonts w:cs="Arial"/>
          <w:color w:val="000000"/>
          <w:u w:val="single"/>
        </w:rPr>
      </w:pPr>
      <w:r w:rsidRPr="00C51926">
        <w:rPr>
          <w:rFonts w:cs="Arial"/>
          <w:color w:val="000000"/>
          <w:u w:val="single"/>
        </w:rPr>
        <w:t>Data Collection at UKRI</w:t>
      </w:r>
    </w:p>
    <w:p w14:paraId="49AC681E" w14:textId="77777777" w:rsidR="00CB58F8" w:rsidRPr="00C51926" w:rsidRDefault="00CB58F8" w:rsidP="00CB58F8">
      <w:pPr>
        <w:rPr>
          <w:rFonts w:cs="Arial"/>
          <w:color w:val="000000"/>
          <w:u w:val="single"/>
        </w:rPr>
      </w:pPr>
    </w:p>
    <w:p w14:paraId="76232FCC" w14:textId="31CC302B" w:rsidR="00CB58F8" w:rsidRPr="00C51926" w:rsidRDefault="00CB58F8" w:rsidP="22285405">
      <w:pPr>
        <w:pStyle w:val="paragraph"/>
        <w:spacing w:before="0" w:beforeAutospacing="0" w:after="0" w:afterAutospacing="0"/>
        <w:textAlignment w:val="baseline"/>
        <w:rPr>
          <w:rFonts w:ascii="Arial" w:hAnsi="Arial" w:cs="Arial"/>
        </w:rPr>
      </w:pPr>
      <w:r w:rsidRPr="22285405">
        <w:rPr>
          <w:rFonts w:ascii="Arial" w:hAnsi="Arial" w:cs="Arial"/>
        </w:rPr>
        <w:t xml:space="preserve">When research organisations submit ERF applications to STFC, the </w:t>
      </w:r>
      <w:r w:rsidR="00620F63" w:rsidRPr="22285405">
        <w:rPr>
          <w:rFonts w:ascii="Arial" w:hAnsi="Arial" w:cs="Arial"/>
        </w:rPr>
        <w:t>Funding Service</w:t>
      </w:r>
      <w:r w:rsidRPr="22285405">
        <w:rPr>
          <w:rFonts w:ascii="Arial" w:hAnsi="Arial" w:cs="Arial"/>
        </w:rPr>
        <w:t xml:space="preserve"> collects personal data including date of birth, ethnic origin, gender and disability. UKRI use this personal data to:</w:t>
      </w:r>
    </w:p>
    <w:p w14:paraId="3EEDA157" w14:textId="77777777" w:rsidR="00CB58F8" w:rsidRPr="00C51926" w:rsidRDefault="00CB58F8" w:rsidP="00CB58F8">
      <w:pPr>
        <w:pStyle w:val="paragraph"/>
        <w:spacing w:before="0" w:beforeAutospacing="0" w:after="0" w:afterAutospacing="0"/>
        <w:jc w:val="both"/>
        <w:textAlignment w:val="baseline"/>
        <w:rPr>
          <w:rFonts w:ascii="Arial" w:hAnsi="Arial" w:cs="Arial"/>
        </w:rPr>
      </w:pPr>
    </w:p>
    <w:p w14:paraId="3D5366BD" w14:textId="77777777" w:rsidR="00CB58F8" w:rsidRPr="00C51926" w:rsidRDefault="00CB58F8" w:rsidP="00CB58F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Inform analysis to investigate if applicants to the scheme who share a protected characteristic: </w:t>
      </w:r>
    </w:p>
    <w:p w14:paraId="43993C39" w14:textId="77777777" w:rsidR="00CB58F8" w:rsidRDefault="00CB58F8" w:rsidP="00CB58F8">
      <w:pPr>
        <w:pStyle w:val="paragraph"/>
        <w:spacing w:before="0" w:beforeAutospacing="0" w:after="0" w:afterAutospacing="0"/>
        <w:jc w:val="both"/>
        <w:textAlignment w:val="baseline"/>
        <w:rPr>
          <w:rFonts w:ascii="Arial" w:hAnsi="Arial" w:cs="Arial"/>
        </w:rPr>
      </w:pPr>
    </w:p>
    <w:p w14:paraId="68A82F32" w14:textId="77777777" w:rsidR="00CB58F8" w:rsidRPr="00C51926" w:rsidRDefault="00CB58F8" w:rsidP="00CB58F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a. suffer a disadvantage linked to that characteristic </w:t>
      </w:r>
    </w:p>
    <w:p w14:paraId="17277EDD" w14:textId="77777777" w:rsidR="00CB58F8" w:rsidRPr="00C51926" w:rsidRDefault="00CB58F8" w:rsidP="00CB58F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b. have different needs to other groups, or </w:t>
      </w:r>
    </w:p>
    <w:p w14:paraId="613A94C3" w14:textId="77777777" w:rsidR="00CB58F8" w:rsidRPr="00C51926" w:rsidRDefault="00CB58F8" w:rsidP="00CB58F8">
      <w:pPr>
        <w:pStyle w:val="paragraph"/>
        <w:spacing w:before="0" w:beforeAutospacing="0" w:after="0" w:afterAutospacing="0"/>
        <w:jc w:val="both"/>
        <w:textAlignment w:val="baseline"/>
        <w:rPr>
          <w:rFonts w:ascii="Arial" w:hAnsi="Arial" w:cs="Arial"/>
        </w:rPr>
      </w:pPr>
      <w:r w:rsidRPr="00C51926">
        <w:rPr>
          <w:rFonts w:ascii="Arial" w:hAnsi="Arial" w:cs="Arial"/>
        </w:rPr>
        <w:t xml:space="preserve">c. have a disproportionately low level of participation </w:t>
      </w:r>
    </w:p>
    <w:p w14:paraId="1F69EAB0" w14:textId="77777777" w:rsidR="00CB58F8" w:rsidRPr="00C51926" w:rsidRDefault="00CB58F8" w:rsidP="00CB58F8">
      <w:pPr>
        <w:pStyle w:val="paragraph"/>
        <w:spacing w:before="0" w:beforeAutospacing="0" w:after="0" w:afterAutospacing="0"/>
        <w:jc w:val="both"/>
        <w:textAlignment w:val="baseline"/>
        <w:rPr>
          <w:rFonts w:ascii="Arial" w:hAnsi="Arial" w:cs="Arial"/>
        </w:rPr>
      </w:pPr>
    </w:p>
    <w:p w14:paraId="3D5D205A" w14:textId="77777777" w:rsidR="00CB58F8" w:rsidRPr="00C51926" w:rsidRDefault="00CB58F8" w:rsidP="00CB58F8">
      <w:pPr>
        <w:pStyle w:val="paragraph"/>
        <w:spacing w:before="0" w:beforeAutospacing="0" w:after="0" w:afterAutospacing="0"/>
        <w:textAlignment w:val="baseline"/>
        <w:rPr>
          <w:rFonts w:ascii="Arial" w:hAnsi="Arial" w:cs="Arial"/>
        </w:rPr>
      </w:pPr>
      <w:r w:rsidRPr="00C51926">
        <w:rPr>
          <w:rFonts w:ascii="Arial" w:hAnsi="Arial" w:cs="Arial"/>
        </w:rPr>
        <w:t xml:space="preserve">If this results in an evidenced need then STFC may make appropriate and proportionate interventions, including in final funding decisions. This is in accordance with STFCs duty to advance equality of opportunity between those who share a protected characteristic and those who do not. </w:t>
      </w:r>
    </w:p>
    <w:p w14:paraId="38AF024D" w14:textId="77777777" w:rsidR="00CB58F8" w:rsidRPr="00C51926" w:rsidRDefault="00CB58F8" w:rsidP="00CB58F8">
      <w:pPr>
        <w:pStyle w:val="paragraph"/>
        <w:spacing w:before="0" w:beforeAutospacing="0" w:after="0" w:afterAutospacing="0"/>
        <w:textAlignment w:val="baseline"/>
        <w:rPr>
          <w:rFonts w:ascii="Arial" w:hAnsi="Arial" w:cs="Arial"/>
        </w:rPr>
      </w:pPr>
    </w:p>
    <w:p w14:paraId="2CF80324" w14:textId="77777777" w:rsidR="00CB58F8" w:rsidRDefault="00CB58F8" w:rsidP="00CB58F8">
      <w:pPr>
        <w:rPr>
          <w:rFonts w:cs="Arial"/>
          <w:color w:val="000000"/>
          <w:u w:val="single"/>
        </w:rPr>
      </w:pPr>
      <w:r w:rsidRPr="00C51926">
        <w:rPr>
          <w:rFonts w:cs="Arial"/>
          <w:color w:val="000000"/>
          <w:u w:val="single"/>
        </w:rPr>
        <w:t>Data collection at academic research organisations</w:t>
      </w:r>
    </w:p>
    <w:p w14:paraId="419D3446" w14:textId="77777777" w:rsidR="00CB58F8" w:rsidRPr="00C51926" w:rsidRDefault="00CB58F8" w:rsidP="00CB58F8">
      <w:pPr>
        <w:rPr>
          <w:rFonts w:cs="Arial"/>
          <w:color w:val="000000"/>
          <w:u w:val="single"/>
        </w:rPr>
      </w:pPr>
    </w:p>
    <w:p w14:paraId="3A255B48" w14:textId="135F03EC" w:rsidR="00F9007D" w:rsidRDefault="00CB58F8">
      <w:pPr>
        <w:rPr>
          <w:rFonts w:cs="Arial"/>
        </w:rPr>
      </w:pPr>
      <w:r w:rsidRPr="22285405">
        <w:rPr>
          <w:rFonts w:cs="Arial"/>
          <w:color w:val="000000" w:themeColor="text1"/>
        </w:rPr>
        <w:t>As Higher Education Institutions have a responsibility under the</w:t>
      </w:r>
      <w:r w:rsidRPr="22285405">
        <w:rPr>
          <w:rFonts w:eastAsia="Times New Roman" w:cs="Arial"/>
          <w:color w:val="000000" w:themeColor="text1"/>
        </w:rPr>
        <w:t xml:space="preserve"> Public Sector Equality Duty (PSED)</w:t>
      </w:r>
      <w:r w:rsidRPr="22285405">
        <w:rPr>
          <w:rFonts w:cs="Arial"/>
          <w:color w:val="000000" w:themeColor="text1"/>
        </w:rPr>
        <w:t xml:space="preserve"> to advance </w:t>
      </w:r>
      <w:r w:rsidRPr="22285405">
        <w:rPr>
          <w:rFonts w:eastAsia="Times New Roman" w:cs="Arial"/>
          <w:color w:val="000000" w:themeColor="text1"/>
        </w:rPr>
        <w:t xml:space="preserve">equality of opportunity, the collection and reporting of data at a scheme level will provide hosts with insights/evidence to demonstrate compliance with this duty alongside providing insights into how effective their current attraction and selection policies and procedures are. </w:t>
      </w:r>
      <w:r w:rsidRPr="22285405">
        <w:rPr>
          <w:rFonts w:cs="Arial"/>
        </w:rPr>
        <w:t xml:space="preserve">Data collection is an early and vital step in the process of designing initiatives to tackle issues related to inequality, </w:t>
      </w:r>
      <w:r w:rsidRPr="22285405">
        <w:rPr>
          <w:rFonts w:cs="Arial"/>
        </w:rPr>
        <w:lastRenderedPageBreak/>
        <w:t>checking that an initiative is having the desired effects and making changes to an initiative, if required.</w:t>
      </w:r>
    </w:p>
    <w:sectPr w:rsidR="00F9007D" w:rsidSect="00AC422B">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79A8" w14:textId="77777777" w:rsidR="009B0F17" w:rsidRDefault="009B0F17" w:rsidP="005D11E7">
      <w:r>
        <w:separator/>
      </w:r>
    </w:p>
  </w:endnote>
  <w:endnote w:type="continuationSeparator" w:id="0">
    <w:p w14:paraId="552D7007" w14:textId="77777777" w:rsidR="009B0F17" w:rsidRDefault="009B0F17" w:rsidP="005D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5553" w14:textId="77777777" w:rsidR="009B0F17" w:rsidRDefault="009B0F17" w:rsidP="005D11E7">
      <w:r>
        <w:separator/>
      </w:r>
    </w:p>
  </w:footnote>
  <w:footnote w:type="continuationSeparator" w:id="0">
    <w:p w14:paraId="7BDABF6A" w14:textId="77777777" w:rsidR="009B0F17" w:rsidRDefault="009B0F17" w:rsidP="005D11E7">
      <w:r>
        <w:continuationSeparator/>
      </w:r>
    </w:p>
  </w:footnote>
  <w:footnote w:id="1">
    <w:p w14:paraId="21DDB6A4" w14:textId="0CF496F0" w:rsidR="00736C4A" w:rsidRDefault="00736C4A"/>
  </w:footnote>
  <w:footnote w:id="2">
    <w:p w14:paraId="3CBD8BF5" w14:textId="585A9805" w:rsidR="005D11E7" w:rsidRPr="001D1AC5" w:rsidRDefault="005D11E7">
      <w:pPr>
        <w:pStyle w:val="FootnoteText"/>
        <w:rPr>
          <w:lang w:val="en-US"/>
        </w:rPr>
      </w:pPr>
      <w:r>
        <w:rPr>
          <w:rStyle w:val="FootnoteReference"/>
        </w:rPr>
        <w:footnoteRef/>
      </w:r>
      <w:r w:rsidR="22285405">
        <w:t xml:space="preserve"> </w:t>
      </w:r>
      <w:hyperlink r:id="rId1" w:history="1">
        <w:r w:rsidR="22285405" w:rsidRPr="005D11E7">
          <w:rPr>
            <w:rStyle w:val="Hyperlink"/>
          </w:rPr>
          <w:t>CRAC - Identifying Good Practice Relating To Inclusive Selection Within The Future Leaders Fellowship Scheme</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D7DBDPAv" int2:invalidationBookmarkName="" int2:hashCode="BEiaEruqauv/th" int2:id="0cL1KMQM">
      <int2:state int2:value="Rejected" int2:type="gram"/>
    </int2:bookmark>
    <int2:bookmark int2:bookmarkName="_Int_0iOl9jUb" int2:invalidationBookmarkName="" int2:hashCode="PeUh02GRVekij4" int2:id="NbfBTs5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CB2"/>
    <w:multiLevelType w:val="hybridMultilevel"/>
    <w:tmpl w:val="3B523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B4CBC3"/>
    <w:multiLevelType w:val="hybridMultilevel"/>
    <w:tmpl w:val="C7DE1A78"/>
    <w:lvl w:ilvl="0" w:tplc="E242BB42">
      <w:start w:val="1"/>
      <w:numFmt w:val="bullet"/>
      <w:lvlText w:val=""/>
      <w:lvlJc w:val="left"/>
      <w:pPr>
        <w:ind w:left="720" w:hanging="360"/>
      </w:pPr>
      <w:rPr>
        <w:rFonts w:ascii="Symbol" w:hAnsi="Symbol" w:hint="default"/>
      </w:rPr>
    </w:lvl>
    <w:lvl w:ilvl="1" w:tplc="89AE4D76">
      <w:start w:val="1"/>
      <w:numFmt w:val="bullet"/>
      <w:lvlText w:val="o"/>
      <w:lvlJc w:val="left"/>
      <w:pPr>
        <w:ind w:left="1440" w:hanging="360"/>
      </w:pPr>
      <w:rPr>
        <w:rFonts w:ascii="Courier New" w:hAnsi="Courier New" w:hint="default"/>
      </w:rPr>
    </w:lvl>
    <w:lvl w:ilvl="2" w:tplc="31143416">
      <w:start w:val="1"/>
      <w:numFmt w:val="bullet"/>
      <w:lvlText w:val=""/>
      <w:lvlJc w:val="left"/>
      <w:pPr>
        <w:ind w:left="2160" w:hanging="360"/>
      </w:pPr>
      <w:rPr>
        <w:rFonts w:ascii="Wingdings" w:hAnsi="Wingdings" w:hint="default"/>
      </w:rPr>
    </w:lvl>
    <w:lvl w:ilvl="3" w:tplc="94981DF6">
      <w:start w:val="1"/>
      <w:numFmt w:val="bullet"/>
      <w:lvlText w:val=""/>
      <w:lvlJc w:val="left"/>
      <w:pPr>
        <w:ind w:left="2880" w:hanging="360"/>
      </w:pPr>
      <w:rPr>
        <w:rFonts w:ascii="Symbol" w:hAnsi="Symbol" w:hint="default"/>
      </w:rPr>
    </w:lvl>
    <w:lvl w:ilvl="4" w:tplc="BB8221C0">
      <w:start w:val="1"/>
      <w:numFmt w:val="bullet"/>
      <w:lvlText w:val="o"/>
      <w:lvlJc w:val="left"/>
      <w:pPr>
        <w:ind w:left="3600" w:hanging="360"/>
      </w:pPr>
      <w:rPr>
        <w:rFonts w:ascii="Courier New" w:hAnsi="Courier New" w:hint="default"/>
      </w:rPr>
    </w:lvl>
    <w:lvl w:ilvl="5" w:tplc="4B1824C8">
      <w:start w:val="1"/>
      <w:numFmt w:val="bullet"/>
      <w:lvlText w:val=""/>
      <w:lvlJc w:val="left"/>
      <w:pPr>
        <w:ind w:left="4320" w:hanging="360"/>
      </w:pPr>
      <w:rPr>
        <w:rFonts w:ascii="Wingdings" w:hAnsi="Wingdings" w:hint="default"/>
      </w:rPr>
    </w:lvl>
    <w:lvl w:ilvl="6" w:tplc="92D0CA88">
      <w:start w:val="1"/>
      <w:numFmt w:val="bullet"/>
      <w:lvlText w:val=""/>
      <w:lvlJc w:val="left"/>
      <w:pPr>
        <w:ind w:left="5040" w:hanging="360"/>
      </w:pPr>
      <w:rPr>
        <w:rFonts w:ascii="Symbol" w:hAnsi="Symbol" w:hint="default"/>
      </w:rPr>
    </w:lvl>
    <w:lvl w:ilvl="7" w:tplc="691A9DDA">
      <w:start w:val="1"/>
      <w:numFmt w:val="bullet"/>
      <w:lvlText w:val="o"/>
      <w:lvlJc w:val="left"/>
      <w:pPr>
        <w:ind w:left="5760" w:hanging="360"/>
      </w:pPr>
      <w:rPr>
        <w:rFonts w:ascii="Courier New" w:hAnsi="Courier New" w:hint="default"/>
      </w:rPr>
    </w:lvl>
    <w:lvl w:ilvl="8" w:tplc="55728D96">
      <w:start w:val="1"/>
      <w:numFmt w:val="bullet"/>
      <w:lvlText w:val=""/>
      <w:lvlJc w:val="left"/>
      <w:pPr>
        <w:ind w:left="6480" w:hanging="360"/>
      </w:pPr>
      <w:rPr>
        <w:rFonts w:ascii="Wingdings" w:hAnsi="Wingdings" w:hint="default"/>
      </w:rPr>
    </w:lvl>
  </w:abstractNum>
  <w:abstractNum w:abstractNumId="2" w15:restartNumberingAfterBreak="0">
    <w:nsid w:val="4B0A12E9"/>
    <w:multiLevelType w:val="hybridMultilevel"/>
    <w:tmpl w:val="6726861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4BED18F3"/>
    <w:multiLevelType w:val="hybridMultilevel"/>
    <w:tmpl w:val="D11EF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7430E9"/>
    <w:multiLevelType w:val="hybridMultilevel"/>
    <w:tmpl w:val="793A2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407038">
    <w:abstractNumId w:val="1"/>
  </w:num>
  <w:num w:numId="2" w16cid:durableId="707802864">
    <w:abstractNumId w:val="4"/>
  </w:num>
  <w:num w:numId="3" w16cid:durableId="62142835">
    <w:abstractNumId w:val="3"/>
  </w:num>
  <w:num w:numId="4" w16cid:durableId="1741367383">
    <w:abstractNumId w:val="0"/>
  </w:num>
  <w:num w:numId="5" w16cid:durableId="2086031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FA"/>
    <w:rsid w:val="00026106"/>
    <w:rsid w:val="00033402"/>
    <w:rsid w:val="00080821"/>
    <w:rsid w:val="000E0B95"/>
    <w:rsid w:val="000F78D5"/>
    <w:rsid w:val="001003F4"/>
    <w:rsid w:val="00115DDD"/>
    <w:rsid w:val="00151FE3"/>
    <w:rsid w:val="00177019"/>
    <w:rsid w:val="001B65BC"/>
    <w:rsid w:val="001D1AC5"/>
    <w:rsid w:val="001D2413"/>
    <w:rsid w:val="001D7E53"/>
    <w:rsid w:val="00273A7F"/>
    <w:rsid w:val="0028596B"/>
    <w:rsid w:val="002D3DA6"/>
    <w:rsid w:val="002E4711"/>
    <w:rsid w:val="003D4C61"/>
    <w:rsid w:val="004136C9"/>
    <w:rsid w:val="004306EF"/>
    <w:rsid w:val="0043107F"/>
    <w:rsid w:val="00437A9D"/>
    <w:rsid w:val="004511D7"/>
    <w:rsid w:val="004A1D39"/>
    <w:rsid w:val="004D69A7"/>
    <w:rsid w:val="005565C4"/>
    <w:rsid w:val="005701FA"/>
    <w:rsid w:val="00574C26"/>
    <w:rsid w:val="005870E0"/>
    <w:rsid w:val="005D11E7"/>
    <w:rsid w:val="005E366A"/>
    <w:rsid w:val="005E6E6B"/>
    <w:rsid w:val="0060335D"/>
    <w:rsid w:val="00616687"/>
    <w:rsid w:val="00620F63"/>
    <w:rsid w:val="00623EE7"/>
    <w:rsid w:val="00625AC5"/>
    <w:rsid w:val="006B1192"/>
    <w:rsid w:val="006E2B46"/>
    <w:rsid w:val="006E4A54"/>
    <w:rsid w:val="006F4B0E"/>
    <w:rsid w:val="00736C4A"/>
    <w:rsid w:val="007379F0"/>
    <w:rsid w:val="00771EBD"/>
    <w:rsid w:val="00774629"/>
    <w:rsid w:val="00814777"/>
    <w:rsid w:val="0086246F"/>
    <w:rsid w:val="008E4207"/>
    <w:rsid w:val="008F5F15"/>
    <w:rsid w:val="00910DBD"/>
    <w:rsid w:val="0098672C"/>
    <w:rsid w:val="00993E81"/>
    <w:rsid w:val="009B0F17"/>
    <w:rsid w:val="009D1783"/>
    <w:rsid w:val="00A24F67"/>
    <w:rsid w:val="00A44811"/>
    <w:rsid w:val="00A45CA1"/>
    <w:rsid w:val="00A74CDF"/>
    <w:rsid w:val="00AB78D5"/>
    <w:rsid w:val="00AC422B"/>
    <w:rsid w:val="00AC42B1"/>
    <w:rsid w:val="00B058AB"/>
    <w:rsid w:val="00B746E9"/>
    <w:rsid w:val="00B930B4"/>
    <w:rsid w:val="00BE3503"/>
    <w:rsid w:val="00BF1E32"/>
    <w:rsid w:val="00BF5BCD"/>
    <w:rsid w:val="00C35ECE"/>
    <w:rsid w:val="00C55778"/>
    <w:rsid w:val="00C67ACF"/>
    <w:rsid w:val="00CB58F8"/>
    <w:rsid w:val="00D10AD6"/>
    <w:rsid w:val="00D70C5D"/>
    <w:rsid w:val="00DA3E23"/>
    <w:rsid w:val="00DA4F24"/>
    <w:rsid w:val="00DB1AE2"/>
    <w:rsid w:val="00DB34BF"/>
    <w:rsid w:val="00E25D3E"/>
    <w:rsid w:val="00E474C8"/>
    <w:rsid w:val="00E90F07"/>
    <w:rsid w:val="00EC2B90"/>
    <w:rsid w:val="00F066A0"/>
    <w:rsid w:val="00F24448"/>
    <w:rsid w:val="00F660E1"/>
    <w:rsid w:val="00F80FE4"/>
    <w:rsid w:val="00F9007D"/>
    <w:rsid w:val="00FA5D29"/>
    <w:rsid w:val="00FB21A4"/>
    <w:rsid w:val="00FF5882"/>
    <w:rsid w:val="0637DCFB"/>
    <w:rsid w:val="079F5DD1"/>
    <w:rsid w:val="08E20DBF"/>
    <w:rsid w:val="09934B74"/>
    <w:rsid w:val="1095E350"/>
    <w:rsid w:val="122E3750"/>
    <w:rsid w:val="16E0B99D"/>
    <w:rsid w:val="1AB48BFB"/>
    <w:rsid w:val="1ADDC072"/>
    <w:rsid w:val="1AF1E314"/>
    <w:rsid w:val="20FE5547"/>
    <w:rsid w:val="22285405"/>
    <w:rsid w:val="243E88A1"/>
    <w:rsid w:val="272E9E0C"/>
    <w:rsid w:val="2B7469B8"/>
    <w:rsid w:val="310B048A"/>
    <w:rsid w:val="3231DECC"/>
    <w:rsid w:val="32A39535"/>
    <w:rsid w:val="33524228"/>
    <w:rsid w:val="34B96787"/>
    <w:rsid w:val="34DFA10C"/>
    <w:rsid w:val="37FEAB9F"/>
    <w:rsid w:val="38AFB1AE"/>
    <w:rsid w:val="3D7AA3CC"/>
    <w:rsid w:val="3F131F39"/>
    <w:rsid w:val="415B8AB3"/>
    <w:rsid w:val="47C70287"/>
    <w:rsid w:val="4F63C533"/>
    <w:rsid w:val="5095E576"/>
    <w:rsid w:val="5260A288"/>
    <w:rsid w:val="5294C878"/>
    <w:rsid w:val="543FCDB5"/>
    <w:rsid w:val="54F82B5A"/>
    <w:rsid w:val="559C806A"/>
    <w:rsid w:val="569C00B0"/>
    <w:rsid w:val="5A125283"/>
    <w:rsid w:val="615DE573"/>
    <w:rsid w:val="63664FDD"/>
    <w:rsid w:val="63953B84"/>
    <w:rsid w:val="68DCBE0C"/>
    <w:rsid w:val="6A9B4EEE"/>
    <w:rsid w:val="6ACD24CF"/>
    <w:rsid w:val="6BDF8D4A"/>
    <w:rsid w:val="6C4E27A7"/>
    <w:rsid w:val="70E40F08"/>
    <w:rsid w:val="7372E1C6"/>
    <w:rsid w:val="76418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91AF"/>
  <w15:chartTrackingRefBased/>
  <w15:docId w15:val="{1369E690-1ED9-4BC0-9B55-DCB1FED8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1FA"/>
    <w:rPr>
      <w:rFonts w:eastAsiaTheme="majorEastAsia" w:cstheme="majorBidi"/>
      <w:color w:val="272727" w:themeColor="text1" w:themeTint="D8"/>
    </w:rPr>
  </w:style>
  <w:style w:type="paragraph" w:styleId="Title">
    <w:name w:val="Title"/>
    <w:basedOn w:val="Normal"/>
    <w:next w:val="Normal"/>
    <w:link w:val="TitleChar"/>
    <w:uiPriority w:val="10"/>
    <w:qFormat/>
    <w:rsid w:val="00570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1FA"/>
    <w:pPr>
      <w:spacing w:before="160"/>
      <w:jc w:val="center"/>
    </w:pPr>
    <w:rPr>
      <w:i/>
      <w:iCs/>
      <w:color w:val="404040" w:themeColor="text1" w:themeTint="BF"/>
    </w:rPr>
  </w:style>
  <w:style w:type="character" w:customStyle="1" w:styleId="QuoteChar">
    <w:name w:val="Quote Char"/>
    <w:basedOn w:val="DefaultParagraphFont"/>
    <w:link w:val="Quote"/>
    <w:uiPriority w:val="29"/>
    <w:rsid w:val="005701FA"/>
    <w:rPr>
      <w:i/>
      <w:iCs/>
      <w:color w:val="404040" w:themeColor="text1" w:themeTint="BF"/>
    </w:rPr>
  </w:style>
  <w:style w:type="paragraph" w:styleId="ListParagraph">
    <w:name w:val="List Paragraph"/>
    <w:basedOn w:val="Normal"/>
    <w:uiPriority w:val="34"/>
    <w:qFormat/>
    <w:rsid w:val="005701FA"/>
    <w:pPr>
      <w:ind w:left="720"/>
      <w:contextualSpacing/>
    </w:pPr>
  </w:style>
  <w:style w:type="character" w:styleId="IntenseEmphasis">
    <w:name w:val="Intense Emphasis"/>
    <w:basedOn w:val="DefaultParagraphFont"/>
    <w:uiPriority w:val="21"/>
    <w:qFormat/>
    <w:rsid w:val="005701FA"/>
    <w:rPr>
      <w:i/>
      <w:iCs/>
      <w:color w:val="0F4761" w:themeColor="accent1" w:themeShade="BF"/>
    </w:rPr>
  </w:style>
  <w:style w:type="paragraph" w:styleId="IntenseQuote">
    <w:name w:val="Intense Quote"/>
    <w:basedOn w:val="Normal"/>
    <w:next w:val="Normal"/>
    <w:link w:val="IntenseQuoteChar"/>
    <w:uiPriority w:val="30"/>
    <w:qFormat/>
    <w:rsid w:val="0057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1FA"/>
    <w:rPr>
      <w:i/>
      <w:iCs/>
      <w:color w:val="0F4761" w:themeColor="accent1" w:themeShade="BF"/>
    </w:rPr>
  </w:style>
  <w:style w:type="character" w:styleId="IntenseReference">
    <w:name w:val="Intense Reference"/>
    <w:basedOn w:val="DefaultParagraphFont"/>
    <w:uiPriority w:val="32"/>
    <w:qFormat/>
    <w:rsid w:val="005701FA"/>
    <w:rPr>
      <w:b/>
      <w:bCs/>
      <w:smallCaps/>
      <w:color w:val="0F4761" w:themeColor="accent1" w:themeShade="BF"/>
      <w:spacing w:val="5"/>
    </w:rPr>
  </w:style>
  <w:style w:type="paragraph" w:customStyle="1" w:styleId="paragraph">
    <w:name w:val="paragraph"/>
    <w:basedOn w:val="Normal"/>
    <w:rsid w:val="00CB58F8"/>
    <w:pPr>
      <w:spacing w:before="100" w:beforeAutospacing="1" w:after="100" w:afterAutospacing="1"/>
    </w:pPr>
    <w:rPr>
      <w:rFonts w:ascii="Calibri" w:hAnsi="Calibri" w:cs="Calibri"/>
      <w:kern w:val="0"/>
      <w:szCs w:val="22"/>
      <w:lang w:eastAsia="en-GB"/>
      <w14:ligatures w14:val="none"/>
    </w:rPr>
  </w:style>
  <w:style w:type="character" w:customStyle="1" w:styleId="normaltextrun">
    <w:name w:val="normaltextrun"/>
    <w:basedOn w:val="DefaultParagraphFont"/>
    <w:rsid w:val="00CB58F8"/>
  </w:style>
  <w:style w:type="character" w:styleId="Hyperlink">
    <w:name w:val="Hyperlink"/>
    <w:basedOn w:val="DefaultParagraphFont"/>
    <w:uiPriority w:val="99"/>
    <w:unhideWhenUsed/>
    <w:rsid w:val="00CB58F8"/>
    <w:rPr>
      <w:color w:val="0563C1"/>
      <w:u w:val="single"/>
    </w:rPr>
  </w:style>
  <w:style w:type="paragraph" w:styleId="NoSpacing">
    <w:name w:val="No Spacing"/>
    <w:uiPriority w:val="1"/>
    <w:qFormat/>
    <w:rsid w:val="00CB58F8"/>
    <w:rPr>
      <w:rFonts w:ascii="Calibri" w:hAnsi="Calibri" w:cs="Calibri"/>
      <w:kern w:val="0"/>
      <w:szCs w:val="22"/>
      <w:lang w:eastAsia="en-GB"/>
      <w14:ligatures w14:val="none"/>
    </w:rPr>
  </w:style>
  <w:style w:type="table" w:styleId="TableGrid">
    <w:name w:val="Table Grid"/>
    <w:basedOn w:val="TableNormal"/>
    <w:uiPriority w:val="39"/>
    <w:rsid w:val="00CB58F8"/>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8F8"/>
    <w:rPr>
      <w:sz w:val="16"/>
      <w:szCs w:val="16"/>
    </w:rPr>
  </w:style>
  <w:style w:type="paragraph" w:styleId="CommentText">
    <w:name w:val="annotation text"/>
    <w:basedOn w:val="Normal"/>
    <w:link w:val="CommentTextChar"/>
    <w:uiPriority w:val="99"/>
    <w:unhideWhenUsed/>
    <w:rsid w:val="00CB58F8"/>
    <w:rPr>
      <w:rFonts w:ascii="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CB58F8"/>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67ACF"/>
    <w:rPr>
      <w:rFonts w:ascii="Arial" w:hAnsi="Arial"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C67ACF"/>
    <w:rPr>
      <w:rFonts w:ascii="Calibri" w:hAnsi="Calibri" w:cs="Calibri"/>
      <w:b/>
      <w:bCs/>
      <w:kern w:val="0"/>
      <w:sz w:val="20"/>
      <w:szCs w:val="20"/>
      <w:lang w:eastAsia="en-GB"/>
      <w14:ligatures w14:val="none"/>
    </w:rPr>
  </w:style>
  <w:style w:type="character" w:styleId="FollowedHyperlink">
    <w:name w:val="FollowedHyperlink"/>
    <w:basedOn w:val="DefaultParagraphFont"/>
    <w:uiPriority w:val="99"/>
    <w:semiHidden/>
    <w:unhideWhenUsed/>
    <w:rsid w:val="00C67ACF"/>
    <w:rPr>
      <w:color w:val="96607D" w:themeColor="followedHyperlink"/>
      <w:u w:val="single"/>
    </w:rPr>
  </w:style>
  <w:style w:type="paragraph" w:styleId="Revision">
    <w:name w:val="Revision"/>
    <w:hidden/>
    <w:uiPriority w:val="99"/>
    <w:semiHidden/>
    <w:rsid w:val="00C67ACF"/>
  </w:style>
  <w:style w:type="paragraph" w:styleId="FootnoteText">
    <w:name w:val="footnote text"/>
    <w:basedOn w:val="Normal"/>
    <w:link w:val="FootnoteTextChar"/>
    <w:uiPriority w:val="99"/>
    <w:semiHidden/>
    <w:unhideWhenUsed/>
    <w:rsid w:val="005D11E7"/>
    <w:rPr>
      <w:sz w:val="20"/>
      <w:szCs w:val="20"/>
    </w:rPr>
  </w:style>
  <w:style w:type="character" w:customStyle="1" w:styleId="FootnoteTextChar">
    <w:name w:val="Footnote Text Char"/>
    <w:basedOn w:val="DefaultParagraphFont"/>
    <w:link w:val="FootnoteText"/>
    <w:uiPriority w:val="99"/>
    <w:semiHidden/>
    <w:rsid w:val="005D11E7"/>
    <w:rPr>
      <w:sz w:val="20"/>
      <w:szCs w:val="20"/>
    </w:rPr>
  </w:style>
  <w:style w:type="character" w:styleId="FootnoteReference">
    <w:name w:val="footnote reference"/>
    <w:basedOn w:val="DefaultParagraphFont"/>
    <w:uiPriority w:val="99"/>
    <w:semiHidden/>
    <w:unhideWhenUsed/>
    <w:rsid w:val="005D11E7"/>
    <w:rPr>
      <w:vertAlign w:val="superscript"/>
    </w:rPr>
  </w:style>
  <w:style w:type="character" w:styleId="UnresolvedMention">
    <w:name w:val="Unresolved Mention"/>
    <w:basedOn w:val="DefaultParagraphFont"/>
    <w:uiPriority w:val="99"/>
    <w:semiHidden/>
    <w:unhideWhenUsed/>
    <w:rsid w:val="005D11E7"/>
    <w:rPr>
      <w:color w:val="605E5C"/>
      <w:shd w:val="clear" w:color="auto" w:fill="E1DFDD"/>
    </w:rPr>
  </w:style>
  <w:style w:type="paragraph" w:styleId="NormalWeb">
    <w:name w:val="Normal (Web)"/>
    <w:basedOn w:val="Normal"/>
    <w:uiPriority w:val="99"/>
    <w:semiHidden/>
    <w:unhideWhenUsed/>
    <w:rsid w:val="001D1AC5"/>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Strong">
    <w:name w:val="Strong"/>
    <w:basedOn w:val="DefaultParagraphFont"/>
    <w:uiPriority w:val="22"/>
    <w:qFormat/>
    <w:rsid w:val="001D1AC5"/>
    <w:rPr>
      <w:b/>
      <w:bCs/>
    </w:rPr>
  </w:style>
  <w:style w:type="paragraph" w:styleId="Header">
    <w:name w:val="header"/>
    <w:basedOn w:val="Normal"/>
    <w:link w:val="HeaderChar"/>
    <w:uiPriority w:val="99"/>
    <w:semiHidden/>
    <w:unhideWhenUsed/>
    <w:rsid w:val="00026106"/>
    <w:pPr>
      <w:tabs>
        <w:tab w:val="center" w:pos="4513"/>
        <w:tab w:val="right" w:pos="9026"/>
      </w:tabs>
    </w:pPr>
  </w:style>
  <w:style w:type="character" w:customStyle="1" w:styleId="HeaderChar">
    <w:name w:val="Header Char"/>
    <w:basedOn w:val="DefaultParagraphFont"/>
    <w:link w:val="Header"/>
    <w:uiPriority w:val="99"/>
    <w:semiHidden/>
    <w:rsid w:val="00026106"/>
  </w:style>
  <w:style w:type="paragraph" w:styleId="Footer">
    <w:name w:val="footer"/>
    <w:basedOn w:val="Normal"/>
    <w:link w:val="FooterChar"/>
    <w:uiPriority w:val="99"/>
    <w:semiHidden/>
    <w:unhideWhenUsed/>
    <w:rsid w:val="00026106"/>
    <w:pPr>
      <w:tabs>
        <w:tab w:val="center" w:pos="4513"/>
        <w:tab w:val="right" w:pos="9026"/>
      </w:tabs>
    </w:pPr>
  </w:style>
  <w:style w:type="character" w:customStyle="1" w:styleId="FooterChar">
    <w:name w:val="Footer Char"/>
    <w:basedOn w:val="DefaultParagraphFont"/>
    <w:link w:val="Footer"/>
    <w:uiPriority w:val="99"/>
    <w:semiHidden/>
    <w:rsid w:val="0002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researchsupport.admin.ox.ac.uk/files/equityandinclusivityinresearchfundingpdf"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app.onlinesurveys.jisc.ac.uk/s/stfc/stfc-ernest-rutherford-fellowships-ed-i-statement-duplicate" TargetMode="External"/><Relationship Id="rId17" Type="http://schemas.openxmlformats.org/officeDocument/2006/relationships/hyperlink" Target="https://app.onlinesurveys.jisc.ac.uk/s/stfc/stfc-ernest-rutherford-fellowships-ed-i-statement-duplicat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3.png@01DCBD2F.6A3CBBF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rac.org.uk/Contents/Item/Display/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SSVJ533UJCM2-2088875932-145174</_dlc_DocId>
    <_dlc_DocIdUrl xmlns="36ebd4db-6f78-4d9b-a8bd-dda683c55855">
      <Url>https://ukri.sharepoint.com/sites/og_SP-Grants/_layouts/15/DocIdRedir.aspx?ID=SSVJ533UJCM2-2088875932-145174</Url>
      <Description>SSVJ533UJCM2-2088875932-145174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22C1D7-A12D-4710-A00A-88E879F72A72}">
  <ds:schemaRefs>
    <ds:schemaRef ds:uri="2e24dfb7-a69e-40eb-b94f-44b9ca9c25ed"/>
    <ds:schemaRef ds:uri="4069d3dd-aad9-4e38-b1c0-16c2c423882e"/>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36ebd4db-6f78-4d9b-a8bd-dda683c55855"/>
  </ds:schemaRefs>
</ds:datastoreItem>
</file>

<file path=customXml/itemProps2.xml><?xml version="1.0" encoding="utf-8"?>
<ds:datastoreItem xmlns:ds="http://schemas.openxmlformats.org/officeDocument/2006/customXml" ds:itemID="{0C56B69D-8948-43AE-9BED-D153C4AF3A2E}">
  <ds:schemaRefs>
    <ds:schemaRef ds:uri="http://schemas.microsoft.com/sharepoint/v3/contenttype/forms"/>
  </ds:schemaRefs>
</ds:datastoreItem>
</file>

<file path=customXml/itemProps3.xml><?xml version="1.0" encoding="utf-8"?>
<ds:datastoreItem xmlns:ds="http://schemas.openxmlformats.org/officeDocument/2006/customXml" ds:itemID="{E5225C1E-CFED-4785-8AC7-E29C78E20D1B}">
  <ds:schemaRefs>
    <ds:schemaRef ds:uri="http://schemas.openxmlformats.org/officeDocument/2006/bibliography"/>
  </ds:schemaRefs>
</ds:datastoreItem>
</file>

<file path=customXml/itemProps4.xml><?xml version="1.0" encoding="utf-8"?>
<ds:datastoreItem xmlns:ds="http://schemas.openxmlformats.org/officeDocument/2006/customXml" ds:itemID="{FDD1C1D5-7EEC-470E-93D6-CC0CCD66E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170CA-AF75-480C-AA5B-3C549C67BE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Links>
    <vt:vector size="30" baseType="variant">
      <vt:variant>
        <vt:i4>5111824</vt:i4>
      </vt:variant>
      <vt:variant>
        <vt:i4>9</vt:i4>
      </vt:variant>
      <vt:variant>
        <vt:i4>0</vt:i4>
      </vt:variant>
      <vt:variant>
        <vt:i4>5</vt:i4>
      </vt:variant>
      <vt:variant>
        <vt:lpwstr>https://researchsupport.admin.ox.ac.uk/files/equityandinclusivityinresearchfundingpdf</vt:lpwstr>
      </vt:variant>
      <vt:variant>
        <vt:lpwstr/>
      </vt:variant>
      <vt:variant>
        <vt:i4>7405600</vt:i4>
      </vt:variant>
      <vt:variant>
        <vt:i4>6</vt:i4>
      </vt:variant>
      <vt:variant>
        <vt:i4>0</vt:i4>
      </vt:variant>
      <vt:variant>
        <vt:i4>5</vt:i4>
      </vt:variant>
      <vt:variant>
        <vt:lpwstr>https://app.onlinesurveys.jisc.ac.uk/s/stfc/stfc-ernest-rutherford-fellowships-ed-i-statement-duplicate</vt:lpwstr>
      </vt:variant>
      <vt:variant>
        <vt:lpwstr/>
      </vt:variant>
      <vt:variant>
        <vt:i4>3801207</vt:i4>
      </vt:variant>
      <vt:variant>
        <vt:i4>3</vt:i4>
      </vt:variant>
      <vt:variant>
        <vt:i4>0</vt:i4>
      </vt:variant>
      <vt:variant>
        <vt:i4>5</vt:i4>
      </vt:variant>
      <vt:variant>
        <vt:lpwstr/>
      </vt:variant>
      <vt:variant>
        <vt:lpwstr>Annex1</vt:lpwstr>
      </vt:variant>
      <vt:variant>
        <vt:i4>7405600</vt:i4>
      </vt:variant>
      <vt:variant>
        <vt:i4>0</vt:i4>
      </vt:variant>
      <vt:variant>
        <vt:i4>0</vt:i4>
      </vt:variant>
      <vt:variant>
        <vt:i4>5</vt:i4>
      </vt:variant>
      <vt:variant>
        <vt:lpwstr>https://app.onlinesurveys.jisc.ac.uk/s/stfc/stfc-ernest-rutherford-fellowships-ed-i-statement-duplicate</vt:lpwstr>
      </vt:variant>
      <vt:variant>
        <vt:lpwstr/>
      </vt:variant>
      <vt:variant>
        <vt:i4>4259908</vt:i4>
      </vt:variant>
      <vt:variant>
        <vt:i4>0</vt:i4>
      </vt:variant>
      <vt:variant>
        <vt:i4>0</vt:i4>
      </vt:variant>
      <vt:variant>
        <vt:i4>5</vt:i4>
      </vt:variant>
      <vt:variant>
        <vt:lpwstr>https://www.crac.org.uk/Contents/Item/Display/785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Cholod, Nikki (STFC,SO,STPD)</dc:creator>
  <cp:keywords/>
  <dc:description/>
  <cp:lastModifiedBy>Dave Swinburne - UKRI</cp:lastModifiedBy>
  <cp:revision>2</cp:revision>
  <dcterms:created xsi:type="dcterms:W3CDTF">2026-05-19T12:10:00Z</dcterms:created>
  <dcterms:modified xsi:type="dcterms:W3CDTF">2026-05-19T12:10:00Z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a6c864cc-6afa-42ca-b4b1-8c29e0af0f7e</vt:lpwstr>
  </property>
  <property fmtid="{D5CDD505-2E9C-101B-9397-08002B2CF9AE}" pid="5" name="MSIP_Label_34c27a6e-c833-42bb-83c2-622284533524_Enabled">
    <vt:lpwstr>true</vt:lpwstr>
  </property>
  <property fmtid="{D5CDD505-2E9C-101B-9397-08002B2CF9AE}" pid="6" name="MSIP_Label_34c27a6e-c833-42bb-83c2-622284533524_SetDate">
    <vt:lpwstr>2026-05-19T12:10:28Z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b188aca3-f651-4d9f-ad87-de1cea7ce5aa</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